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6"/>
        <w:gridCol w:w="15755"/>
        <w:gridCol w:w="61"/>
      </w:tblGrid>
      <w:tr w:rsidR="00291195">
        <w:trPr>
          <w:trHeight w:val="90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663B5B" w:rsidTr="00663B5B">
        <w:trPr>
          <w:trHeight w:val="410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0"/>
            </w:tblGrid>
            <w:tr w:rsidR="00291195">
              <w:trPr>
                <w:trHeight w:val="332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sz w:val="28"/>
                    </w:rPr>
                    <w:t>Švenčionių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r. sav.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besimokančių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vaikų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sveikatos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rodiklių</w:t>
                  </w:r>
                  <w:proofErr w:type="spellEnd"/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suvestinė</w:t>
                  </w:r>
                  <w:proofErr w:type="spellEnd"/>
                </w:p>
              </w:tc>
            </w:tr>
          </w:tbl>
          <w:p w:rsidR="00291195" w:rsidRDefault="00291195">
            <w:pPr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291195">
        <w:trPr>
          <w:trHeight w:val="140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291195">
        <w:trPr>
          <w:trHeight w:val="340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5"/>
            </w:tblGrid>
            <w:tr w:rsidR="00291195">
              <w:trPr>
                <w:trHeight w:val="262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Filtras: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Metai</w:t>
                  </w:r>
                  <w:proofErr w:type="spellEnd"/>
                  <w:r>
                    <w:rPr>
                      <w:b/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 xml:space="preserve"> 2019; </w:t>
                  </w:r>
                  <w:proofErr w:type="spellStart"/>
                  <w:r>
                    <w:rPr>
                      <w:b/>
                      <w:color w:val="000000"/>
                    </w:rPr>
                    <w:t>Ugdymo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įstaigos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savivaldybė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</w:rPr>
                    <w:t>Švenčionių</w:t>
                  </w:r>
                  <w:proofErr w:type="spellEnd"/>
                  <w:r>
                    <w:rPr>
                      <w:color w:val="000000"/>
                    </w:rPr>
                    <w:t xml:space="preserve"> r. sav.; </w:t>
                  </w:r>
                  <w:proofErr w:type="spellStart"/>
                  <w:r>
                    <w:rPr>
                      <w:b/>
                      <w:color w:val="000000"/>
                    </w:rPr>
                    <w:t>Amžius</w:t>
                  </w:r>
                  <w:proofErr w:type="spellEnd"/>
                  <w:r>
                    <w:rPr>
                      <w:b/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 xml:space="preserve"> 7-99; </w:t>
                  </w:r>
                  <w:proofErr w:type="spellStart"/>
                  <w:r>
                    <w:rPr>
                      <w:b/>
                      <w:color w:val="000000"/>
                    </w:rPr>
                    <w:t>Ugdymo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įstaigos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tipas</w:t>
                  </w:r>
                  <w:proofErr w:type="spellEnd"/>
                  <w:r>
                    <w:rPr>
                      <w:b/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 xml:space="preserve"> #Error</w:t>
                  </w:r>
                </w:p>
              </w:tc>
            </w:tr>
          </w:tbl>
          <w:p w:rsidR="00291195" w:rsidRDefault="00291195">
            <w:pPr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291195">
        <w:trPr>
          <w:trHeight w:val="152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663B5B" w:rsidTr="00663B5B"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7341"/>
              <w:gridCol w:w="737"/>
              <w:gridCol w:w="3741"/>
              <w:gridCol w:w="1984"/>
              <w:gridCol w:w="1218"/>
            </w:tblGrid>
            <w:tr w:rsidR="00663B5B" w:rsidTr="00663B5B">
              <w:trPr>
                <w:trHeight w:val="466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8000" cy="345600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Statistiškai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reikšmingai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mažesnė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rodiklio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reikšmė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palyginus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rodiklio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Lietuvoje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8000" cy="345600"/>
                        <wp:effectExtent l="0" t="0" r="0" b="0"/>
                        <wp:docPr id="2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Statistiškai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reikšmingai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didesnė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rodiklio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reikšmė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palyginus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rodiklio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Lietuvoje</w:t>
                  </w:r>
                  <w:proofErr w:type="spellEnd"/>
                </w:p>
              </w:tc>
            </w:tr>
            <w:tr w:rsidR="00291195">
              <w:trPr>
                <w:trHeight w:val="466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8000" cy="345600"/>
                        <wp:effectExtent l="0" t="0" r="0" b="0"/>
                        <wp:docPr id="4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Rodiklis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statistiškai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reikšmingai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nesiskiria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palyginus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rodiklio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reikšme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Lietuvoje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0000" cy="345600"/>
                        <wp:effectExtent l="0" t="0" r="0" b="0"/>
                        <wp:docPr id="6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291195">
                  <w:pPr>
                    <w:spacing w:after="0" w:line="240" w:lineRule="auto"/>
                  </w:pPr>
                </w:p>
              </w:tc>
            </w:tr>
          </w:tbl>
          <w:p w:rsidR="00291195" w:rsidRDefault="00291195">
            <w:pPr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291195">
        <w:trPr>
          <w:trHeight w:val="35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663B5B" w:rsidTr="00663B5B"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2"/>
          </w:tcPr>
          <w:tbl>
            <w:tblPr>
              <w:tblW w:w="0" w:type="auto"/>
              <w:tblBorders>
                <w:top w:val="single" w:sz="1" w:space="0" w:color="000000"/>
                <w:left w:val="single" w:sz="3" w:space="0" w:color="000000"/>
                <w:bottom w:val="single" w:sz="1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335"/>
              <w:gridCol w:w="737"/>
              <w:gridCol w:w="1247"/>
              <w:gridCol w:w="737"/>
              <w:gridCol w:w="737"/>
              <w:gridCol w:w="1020"/>
              <w:gridCol w:w="1986"/>
              <w:gridCol w:w="1218"/>
            </w:tblGrid>
            <w:tr w:rsidR="00291195">
              <w:trPr>
                <w:trHeight w:val="77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Eil</w:t>
                  </w:r>
                  <w:proofErr w:type="spellEnd"/>
                  <w:r>
                    <w:rPr>
                      <w:b/>
                      <w:color w:val="000000"/>
                    </w:rPr>
                    <w:t>. Nr.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Rodiklis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Rodiklio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reikšmė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savivaldybėje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Min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Max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Rodiklio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reikšmė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Lietuvoje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Vaizdavimas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Pokytis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nuo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praeitų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metų</w:t>
                  </w:r>
                  <w:proofErr w:type="spellEnd"/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lankančių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ugdymo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įstaigas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savivaldybėje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skaičius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2363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2363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317811.00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8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g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13.93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pristačiusių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formą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Nr. E027-1,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1380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58.40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335.00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229779.00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10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g8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4.70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kurių</w:t>
                  </w:r>
                  <w:proofErr w:type="spellEnd"/>
                  <w:r>
                    <w:rPr>
                      <w:b/>
                      <w:color w:val="000000"/>
                    </w:rPr>
                    <w:t> 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formos</w:t>
                  </w:r>
                  <w:proofErr w:type="spellEnd"/>
                  <w:r>
                    <w:rPr>
                      <w:b/>
                      <w:color w:val="000000"/>
                    </w:rPr>
                    <w:t>  Nr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. E027-1 </w:t>
                  </w:r>
                  <w:proofErr w:type="spellStart"/>
                  <w:r>
                    <w:rPr>
                      <w:b/>
                      <w:color w:val="000000"/>
                    </w:rPr>
                    <w:t>formos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"</w:t>
                  </w:r>
                  <w:proofErr w:type="spellStart"/>
                  <w:r>
                    <w:rPr>
                      <w:b/>
                      <w:color w:val="000000"/>
                    </w:rPr>
                    <w:t>Fizinės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būklės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įvertinimas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" </w:t>
                  </w:r>
                  <w:proofErr w:type="spellStart"/>
                  <w:r>
                    <w:rPr>
                      <w:b/>
                      <w:color w:val="000000"/>
                    </w:rPr>
                    <w:t>užpildyta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1884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79.73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392.00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299679.00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12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g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-6.73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kurių</w:t>
                  </w:r>
                  <w:proofErr w:type="spellEnd"/>
                  <w:r>
                    <w:rPr>
                      <w:b/>
                      <w:color w:val="000000"/>
                    </w:rPr>
                    <w:t> 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formos</w:t>
                  </w:r>
                  <w:proofErr w:type="spellEnd"/>
                  <w:r>
                    <w:rPr>
                      <w:b/>
                      <w:color w:val="000000"/>
                    </w:rPr>
                    <w:t>  Nr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. E027-1 </w:t>
                  </w:r>
                  <w:proofErr w:type="spellStart"/>
                  <w:r>
                    <w:rPr>
                      <w:b/>
                      <w:color w:val="000000"/>
                    </w:rPr>
                    <w:t>formos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II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"</w:t>
                  </w:r>
                  <w:proofErr w:type="spellStart"/>
                  <w:r>
                    <w:rPr>
                      <w:b/>
                      <w:color w:val="000000"/>
                    </w:rPr>
                    <w:t>Dantų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ir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žandikaulių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būklės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įvertinimas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" </w:t>
                  </w:r>
                  <w:proofErr w:type="spellStart"/>
                  <w:r>
                    <w:rPr>
                      <w:b/>
                      <w:color w:val="000000"/>
                    </w:rPr>
                    <w:t>užpildyta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1451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61.40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337.00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233675.00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14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g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10.09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galinčių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dalyvauti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ugdymo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veikloje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be </w:t>
                  </w:r>
                  <w:proofErr w:type="spellStart"/>
                  <w:r>
                    <w:rPr>
                      <w:b/>
                      <w:color w:val="000000"/>
                    </w:rPr>
                    <w:t>jokių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apribojimų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1824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96.82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384.00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280311.00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16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g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-5.88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per </w:t>
                  </w:r>
                  <w:proofErr w:type="spellStart"/>
                  <w:r>
                    <w:rPr>
                      <w:b/>
                      <w:color w:val="000000"/>
                    </w:rPr>
                    <w:t>mažą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KMI,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203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10.77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34801.00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18" name="img1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g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-13.62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normalų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KMI,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62.63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36.00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227.00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197647.00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20" name="img1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img1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-8.10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didelį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KMI,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antsvoris</w:t>
                  </w:r>
                  <w:proofErr w:type="spellEnd"/>
                  <w:r>
                    <w:rPr>
                      <w:b/>
                      <w:color w:val="000000"/>
                    </w:rPr>
                    <w:t>)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330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17.52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46653.00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22" name="img1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mg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3.45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labai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didelį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KMI,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nutukimas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171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9.08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19117.00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24" name="img1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g15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-5.52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priskiriamų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pagrindinei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fizinio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ugdymo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grupei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1795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95.28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374.00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284859.00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26" name="img1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g16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-4.27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11.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priskiriamų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parengiamajai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fizinio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ugdymo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grupei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2.92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9428.00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28" name="img1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img17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-30.38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12.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priskiriamų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specialiajai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fizinio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ugdymo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grupei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1.70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4034.00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30" name="img1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g18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-5.88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13.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kuriems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nurodytos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bendrosios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rekomendacijos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32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img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NA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14.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kuriems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nurodytos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specialiosios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rekomendacijos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0.05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15148.00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34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" name="img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NA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15.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atleistų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nuo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kūno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kultūros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pamokų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189.00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36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img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NA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16.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kuriems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pritaikytas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maitinimas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38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img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NA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lastRenderedPageBreak/>
                    <w:t>17.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labai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žemą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bendrą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KPI+kpi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</w:rPr>
                    <w:t>indeksą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285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19.64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52260.00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40" name="img1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img19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17.77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18.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žemą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bendrą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KPI+kpi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</w:rPr>
                    <w:t>indeksą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176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12.13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28228.00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42" name="img2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" name="img20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31.34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19.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vidutinį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bendrą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KPI+kpi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</w:rPr>
                    <w:t>indeksą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308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21.23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72.00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49486.00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44" name="img2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img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32.19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aukštą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bendrą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KPI+kpi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</w:rPr>
                    <w:t>indeksą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16.82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35422.00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46" name="img2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img22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-2.01</w:t>
                  </w:r>
                </w:p>
              </w:tc>
            </w:tr>
            <w:tr w:rsidR="00291195">
              <w:trPr>
                <w:trHeight w:val="26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21.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color w:val="000000"/>
                    </w:rPr>
                    <w:t>Mokinių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turinčių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labai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aukštą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bendrą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KPI+kpi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</w:rPr>
                    <w:t>indeksą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0000"/>
                    </w:rPr>
                    <w:t>dalis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28.95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10.00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86.00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49089.00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291195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60000" cy="216000"/>
                              <wp:effectExtent l="0" t="0" r="0" b="0"/>
                              <wp:docPr id="48" name="img2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" name="img23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-1.41</w:t>
                  </w:r>
                </w:p>
              </w:tc>
            </w:tr>
          </w:tbl>
          <w:p w:rsidR="00291195" w:rsidRDefault="00291195">
            <w:pPr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291195">
        <w:trPr>
          <w:trHeight w:val="192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663B5B" w:rsidTr="00663B5B"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0"/>
            </w:tblGrid>
            <w:tr w:rsidR="00291195">
              <w:trPr>
                <w:trHeight w:val="361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*</w:t>
                  </w:r>
                  <w:proofErr w:type="spellStart"/>
                  <w:r>
                    <w:rPr>
                      <w:color w:val="000000"/>
                    </w:rPr>
                    <w:t>Vaikų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pasiskirstymas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pagal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kūno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masės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indekso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grupes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c>
            </w:tr>
            <w:tr w:rsidR="00291195">
              <w:trPr>
                <w:trHeight w:val="158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8000" cy="100800"/>
                        <wp:effectExtent l="0" t="0" r="0" b="0"/>
                        <wp:docPr id="50" name="img2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img24.png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8000" cy="10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195">
              <w:trPr>
                <w:trHeight w:val="1133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8000" cy="720000"/>
                        <wp:effectExtent l="0" t="0" r="0" b="0"/>
                        <wp:docPr id="52" name="img2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img25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8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195">
              <w:trPr>
                <w:trHeight w:val="176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2"/>
                    </w:rPr>
                    <w:t xml:space="preserve">               1 - </w:t>
                  </w:r>
                  <w:proofErr w:type="spellStart"/>
                  <w:r>
                    <w:rPr>
                      <w:b/>
                      <w:color w:val="000000"/>
                      <w:sz w:val="12"/>
                    </w:rPr>
                    <w:t>Nenurodyta</w:t>
                  </w:r>
                  <w:proofErr w:type="spellEnd"/>
                  <w:r>
                    <w:rPr>
                      <w:b/>
                      <w:color w:val="000000"/>
                      <w:sz w:val="12"/>
                    </w:rPr>
                    <w:t xml:space="preserve"> (0.00%) </w:t>
                  </w:r>
                </w:p>
              </w:tc>
            </w:tr>
            <w:tr w:rsidR="00291195">
              <w:trPr>
                <w:trHeight w:val="346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**</w:t>
                  </w:r>
                  <w:proofErr w:type="spellStart"/>
                  <w:r>
                    <w:rPr>
                      <w:color w:val="000000"/>
                    </w:rPr>
                    <w:t>Vaikų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pasiskirstymas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pagal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dantų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ėduonies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intensyvumą</w:t>
                  </w:r>
                  <w:proofErr w:type="spellEnd"/>
                  <w:r>
                    <w:rPr>
                      <w:color w:val="000000"/>
                    </w:rPr>
                    <w:t xml:space="preserve"> (KPI </w:t>
                  </w:r>
                  <w:proofErr w:type="spellStart"/>
                  <w:r>
                    <w:rPr>
                      <w:color w:val="000000"/>
                    </w:rPr>
                    <w:t>indeksas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kur</w:t>
                  </w:r>
                  <w:proofErr w:type="spellEnd"/>
                  <w:r>
                    <w:rPr>
                      <w:color w:val="000000"/>
                    </w:rPr>
                    <w:t xml:space="preserve"> K - </w:t>
                  </w:r>
                  <w:proofErr w:type="spellStart"/>
                  <w:r>
                    <w:rPr>
                      <w:color w:val="000000"/>
                    </w:rPr>
                    <w:t>ėduonies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pažeistų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dantų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skaičius</w:t>
                  </w:r>
                  <w:proofErr w:type="spellEnd"/>
                  <w:r>
                    <w:rPr>
                      <w:color w:val="000000"/>
                    </w:rPr>
                    <w:t xml:space="preserve">, P - </w:t>
                  </w:r>
                  <w:proofErr w:type="spellStart"/>
                  <w:r>
                    <w:rPr>
                      <w:color w:val="000000"/>
                    </w:rPr>
                    <w:t>plombuotų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dantų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skaičius</w:t>
                  </w:r>
                  <w:proofErr w:type="spellEnd"/>
                  <w:r>
                    <w:rPr>
                      <w:color w:val="000000"/>
                    </w:rPr>
                    <w:t xml:space="preserve">, I - </w:t>
                  </w:r>
                  <w:proofErr w:type="spellStart"/>
                  <w:r>
                    <w:rPr>
                      <w:color w:val="000000"/>
                    </w:rPr>
                    <w:t>išrautų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nuolatinių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dantų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skaičius</w:t>
                  </w:r>
                  <w:proofErr w:type="spellEnd"/>
                  <w:r>
                    <w:rPr>
                      <w:color w:val="000000"/>
                    </w:rPr>
                    <w:t>):</w:t>
                  </w:r>
                </w:p>
              </w:tc>
            </w:tr>
            <w:tr w:rsidR="00291195">
              <w:trPr>
                <w:trHeight w:val="158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8000" cy="100800"/>
                        <wp:effectExtent l="0" t="0" r="0" b="0"/>
                        <wp:docPr id="54" name="img2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img24.png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8000" cy="10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195">
              <w:trPr>
                <w:trHeight w:val="1133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8000" cy="720000"/>
                        <wp:effectExtent l="0" t="0" r="0" b="0"/>
                        <wp:docPr id="56" name="img2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img26.png"/>
                                <pic:cNvPicPr/>
                              </pic:nvPicPr>
                              <pic:blipFill>
                                <a:blip r:embed="rId3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8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195">
              <w:trPr>
                <w:trHeight w:val="137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2"/>
                    </w:rPr>
                    <w:t xml:space="preserve">            1 - </w:t>
                  </w:r>
                  <w:proofErr w:type="spellStart"/>
                  <w:r>
                    <w:rPr>
                      <w:b/>
                      <w:color w:val="000000"/>
                      <w:sz w:val="12"/>
                    </w:rPr>
                    <w:t>Nenurodyta</w:t>
                  </w:r>
                  <w:proofErr w:type="spellEnd"/>
                  <w:r>
                    <w:rPr>
                      <w:b/>
                      <w:color w:val="000000"/>
                      <w:sz w:val="12"/>
                    </w:rPr>
                    <w:t xml:space="preserve"> (0.00%) </w:t>
                  </w:r>
                </w:p>
              </w:tc>
            </w:tr>
          </w:tbl>
          <w:p w:rsidR="00291195" w:rsidRDefault="00291195">
            <w:pPr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291195">
        <w:trPr>
          <w:trHeight w:val="226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663B5B" w:rsidTr="00663B5B">
        <w:trPr>
          <w:trHeight w:val="340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0"/>
            </w:tblGrid>
            <w:tr w:rsidR="00291195">
              <w:trPr>
                <w:trHeight w:val="262"/>
              </w:trPr>
              <w:tc>
                <w:tcPr>
                  <w:tcW w:w="1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1195" w:rsidRDefault="00DD3ADB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i/>
                      <w:color w:val="000000"/>
                    </w:rPr>
                    <w:t>Pastaba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. 1-4 </w:t>
                  </w:r>
                  <w:proofErr w:type="spellStart"/>
                  <w:r>
                    <w:rPr>
                      <w:i/>
                      <w:color w:val="000000"/>
                    </w:rPr>
                    <w:t>rodiklis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apima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tik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tuos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vaikus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000000"/>
                    </w:rPr>
                    <w:t>kurie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ugdymo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įstaigai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pristatė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Formą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Nr. 027-1/a. 5 </w:t>
                  </w:r>
                  <w:proofErr w:type="spellStart"/>
                  <w:r>
                    <w:rPr>
                      <w:i/>
                      <w:color w:val="000000"/>
                    </w:rPr>
                    <w:t>rodiklis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apima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visus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ugdymo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įstaigas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lankančius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vaikus</w:t>
                  </w:r>
                  <w:proofErr w:type="spellEnd"/>
                  <w:r>
                    <w:rPr>
                      <w:i/>
                      <w:color w:val="000000"/>
                    </w:rPr>
                    <w:t>.</w:t>
                  </w:r>
                </w:p>
              </w:tc>
            </w:tr>
          </w:tbl>
          <w:p w:rsidR="00291195" w:rsidRDefault="00291195">
            <w:pPr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291195">
        <w:trPr>
          <w:trHeight w:val="117"/>
        </w:trPr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15755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  <w:tr w:rsidR="00663B5B" w:rsidTr="00663B5B">
        <w:tc>
          <w:tcPr>
            <w:tcW w:w="72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755"/>
            </w:tblGrid>
            <w:tr w:rsidR="00663B5B" w:rsidTr="00663B5B">
              <w:tc>
                <w:tcPr>
                  <w:tcW w:w="4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7"/>
                    <w:gridCol w:w="538"/>
                    <w:gridCol w:w="6803"/>
                    <w:gridCol w:w="737"/>
                    <w:gridCol w:w="1247"/>
                    <w:gridCol w:w="737"/>
                    <w:gridCol w:w="737"/>
                    <w:gridCol w:w="1020"/>
                    <w:gridCol w:w="1986"/>
                    <w:gridCol w:w="1218"/>
                  </w:tblGrid>
                  <w:tr w:rsidR="00291195">
                    <w:trPr>
                      <w:trHeight w:val="130"/>
                    </w:trPr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3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4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</w:tr>
                  <w:tr w:rsidR="00291195">
                    <w:trPr>
                      <w:trHeight w:val="937"/>
                    </w:trPr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 xml:space="preserve">Am-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žiaus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grupė</w:t>
                        </w:r>
                        <w:proofErr w:type="spellEnd"/>
                      </w:p>
                    </w:tc>
                    <w:tc>
                      <w:tcPr>
                        <w:tcW w:w="538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Eil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. Nr.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Rodiklis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Rodiklio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reikšmė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savivaldybėje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Min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Max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000000"/>
                          </w:rPr>
                          <w:t>Rodiklio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reikšmė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Lietuvoje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Vaizdavimas</w:t>
                        </w:r>
                        <w:proofErr w:type="spellEnd"/>
                      </w:p>
                    </w:tc>
                    <w:tc>
                      <w:tcPr>
                        <w:tcW w:w="1218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Pokytis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nuo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praeitų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metų</w:t>
                        </w:r>
                        <w:proofErr w:type="spellEnd"/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7-17 m.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kraujo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kraujodaros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organų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bei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tam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tikrais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sutrikimais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susijusiais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su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imuniniais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mechanizmais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(D50-D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89)(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0.46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0.42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58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9" name="img7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NA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endokrininėmis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medžiagų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apykaitos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(E00-E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90)(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2.30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3.04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29.85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3.84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60" name="img2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1" name="img27.png"/>
                                            <pic:cNvPicPr/>
                                          </pic:nvPicPr>
                                          <pic:blipFill>
                                            <a:blip r:embed="rId3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NA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psichikos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elgesio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sutrikimais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(F00-F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8.28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3.75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29.85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7.29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62" name="img28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3" name="img28.png"/>
                                            <pic:cNvPicPr/>
                                          </pic:nvPicPr>
                                          <pic:blipFill>
                                            <a:blip r:embed="rId3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+69.67%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nervų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sistemos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(G00-G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2.30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2.32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5.00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6.35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64" name="img29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img29.png"/>
                                            <pic:cNvPicPr/>
                                          </pic:nvPicPr>
                                          <pic:blipFill>
                                            <a:blip r:embed="rId3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NA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akies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jos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priedinių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organų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(H00-H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59)(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3.68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12.10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2.98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66" name="img30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" name="img30.png"/>
                                            <pic:cNvPicPr/>
                                          </pic:nvPicPr>
                                          <pic:blipFill>
                                            <a:blip r:embed="rId3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NA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ausies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speninės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ataugos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(H60-H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95)(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0.46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1.14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68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img7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NA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kraujotakos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sistemos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(I00-I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3.22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4.03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14.93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70" name="img31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1" name="img31.png"/>
                                            <pic:cNvPicPr/>
                                          </pic:nvPicPr>
                                          <pic:blipFill>
                                            <a:blip r:embed="rId3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NA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13.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kvėpavimo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sistemos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(J00-J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51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23.47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9.12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59.70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26.16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72" name="img32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3" name="img32.png"/>
                                            <pic:cNvPicPr/>
                                          </pic:nvPicPr>
                                          <pic:blipFill>
                                            <a:blip r:embed="rId3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C0CB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-29.52%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14.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virškinimo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sistemos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(K00-K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93)(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10.58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3.75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24.39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14.69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74" name="img3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5" name="img33.png"/>
                                            <pic:cNvPicPr/>
                                          </pic:nvPicPr>
                                          <pic:blipFill>
                                            <a:blip r:embed="rId3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+3.62%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15.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odos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poodžio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(L00-L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4.60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5.00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14.93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4.28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76" name="img34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7" name="img34.png"/>
                                            <pic:cNvPicPr/>
                                          </pic:nvPicPr>
                                          <pic:blipFill>
                                            <a:blip r:embed="rId3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-5.74%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16.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jungiamojo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audinio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raumenų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sistemos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(M00-M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10.12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3.75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25.00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6.73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78" name="img35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9" name="img35.png"/>
                                            <pic:cNvPicPr/>
                                          </pic:nvPicPr>
                                          <pic:blipFill>
                                            <a:blip r:embed="rId3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+62.70%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17.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Ligotumas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lytinėmis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šlapimo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sistemų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ligomis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(N00-N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2.76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8.06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4.39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80" name="img3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1" name="img36.png"/>
                                            <pic:cNvPicPr/>
                                          </pic:nvPicPr>
                                          <pic:blipFill>
                                            <a:blip r:embed="rId4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NA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18.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Susižalojimų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apsinuodijimų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ir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tam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tikrų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išorinių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poveikių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padarinių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skaičius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(S00-T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98)(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9.20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4.03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29.85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12.24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82" name="img3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3" name="img37.png"/>
                                            <pic:cNvPicPr/>
                                          </pic:nvPicPr>
                                          <pic:blipFill>
                                            <a:blip r:embed="rId4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+21.85%</w:t>
                        </w:r>
                      </w:p>
                    </w:tc>
                  </w:tr>
                  <w:tr w:rsidR="00291195">
                    <w:trPr>
                      <w:trHeight w:val="318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19.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5F5F5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Mirtingumas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dėl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išorinių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priežasčių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 xml:space="preserve"> (V00-Y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89)(</w:t>
                        </w:r>
                        <w:proofErr w:type="gramEnd"/>
                        <w:r>
                          <w:rPr>
                            <w:b/>
                            <w:color w:val="000000"/>
                          </w:rPr>
                          <w:t xml:space="preserve">100 000 </w:t>
                        </w:r>
                        <w:proofErr w:type="spellStart"/>
                        <w:r>
                          <w:rPr>
                            <w:b/>
                            <w:color w:val="000000"/>
                          </w:rPr>
                          <w:t>vaikų</w:t>
                        </w:r>
                        <w:proofErr w:type="spellEnd"/>
                        <w:r>
                          <w:rPr>
                            <w:b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DD3ADB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color w:val="000000"/>
                          </w:rPr>
                          <w:t>2.99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4"/>
                        </w:tblGrid>
                        <w:tr w:rsidR="00291195">
                          <w:trPr>
                            <w:trHeight w:val="340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91195" w:rsidRDefault="00DD3AD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60000" cy="216000"/>
                                    <wp:effectExtent l="0" t="0" r="0" b="0"/>
                                    <wp:docPr id="84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5" name="img7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1195">
                          <w:trPr>
                            <w:trHeight w:val="56"/>
                          </w:trPr>
                          <w:tc>
                            <w:tcPr>
                              <w:tcW w:w="198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91195" w:rsidRDefault="00291195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</w:tr>
                  <w:tr w:rsidR="00291195">
                    <w:trPr>
                      <w:trHeight w:val="55"/>
                    </w:trPr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3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4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37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18" w:type="dxa"/>
                      </w:tcPr>
                      <w:p w:rsidR="00291195" w:rsidRDefault="002911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</w:tr>
            <w:tr w:rsidR="00291195">
              <w:trPr>
                <w:trHeight w:val="63"/>
              </w:trPr>
              <w:tc>
                <w:tcPr>
                  <w:tcW w:w="4" w:type="dxa"/>
                </w:tcPr>
                <w:p w:rsidR="00291195" w:rsidRDefault="002911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55" w:type="dxa"/>
                </w:tcPr>
                <w:p w:rsidR="00291195" w:rsidRDefault="002911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91195">
              <w:trPr>
                <w:trHeight w:val="1131"/>
              </w:trPr>
              <w:tc>
                <w:tcPr>
                  <w:tcW w:w="4" w:type="dxa"/>
                </w:tcPr>
                <w:p w:rsidR="00291195" w:rsidRDefault="002911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5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55"/>
                  </w:tblGrid>
                  <w:tr w:rsidR="00291195">
                    <w:tc>
                      <w:tcPr>
                        <w:tcW w:w="15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91195" w:rsidRDefault="00DD3AD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N -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absoliutus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asmenų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skaičius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skaitinė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pasirinktoje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; Min -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minimali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skaitinė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mokyklose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; Max -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maksimali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skaitinė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mokyklose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</w:t>
                        </w:r>
                        <w:r>
                          <w:rPr>
                            <w:color w:val="000000"/>
                            <w:sz w:val="16"/>
                          </w:rPr>
                          <w:t>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Lietuvoje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skaitinė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Lietuvoje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Vaizdavimas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pateikiama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linija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nurodo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reikšmių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pasiskirstymą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pagal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kvartilius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žalia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spalva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paryškinta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sritis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kuri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apima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50%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reikšmių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).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Atskirai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vertikalia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linija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Lietuvoje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o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apskritimu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Pokytis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pateikiama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skaitinė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pokyčio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kuri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vaizduojama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„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</w:rPr>
                          <w:t xml:space="preserve">+“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ženklu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jei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reikšmė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padidėjo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palyginus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praėjusiais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metais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„-“,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jei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sumažėjo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pok</w:t>
                        </w:r>
                        <w:r>
                          <w:rPr>
                            <w:color w:val="000000"/>
                            <w:sz w:val="16"/>
                          </w:rPr>
                          <w:t>ytis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bus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pateikiamas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rausva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spalva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jei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tai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reiškia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statistiškai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reikšmingą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pokytį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palyginti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praėjusių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metų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balta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jei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pokytis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nebuvo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statistiškai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reikšmingas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palyginus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praeitų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metų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rodiklio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reikšme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. NA – per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maža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imtis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patikima</w:t>
                        </w:r>
                        <w:r>
                          <w:rPr>
                            <w:color w:val="000000"/>
                            <w:sz w:val="16"/>
                          </w:rPr>
                          <w:t>m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pokyčiui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skaičiuoti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291195" w:rsidRDefault="00291195">
                  <w:pPr>
                    <w:spacing w:after="0" w:line="240" w:lineRule="auto"/>
                  </w:pPr>
                </w:p>
              </w:tc>
            </w:tr>
          </w:tbl>
          <w:p w:rsidR="00291195" w:rsidRDefault="00291195">
            <w:pPr>
              <w:spacing w:after="0" w:line="240" w:lineRule="auto"/>
            </w:pPr>
          </w:p>
        </w:tc>
        <w:tc>
          <w:tcPr>
            <w:tcW w:w="61" w:type="dxa"/>
          </w:tcPr>
          <w:p w:rsidR="00291195" w:rsidRDefault="00291195">
            <w:pPr>
              <w:pStyle w:val="EmptyCellLayoutStyle"/>
              <w:spacing w:after="0" w:line="240" w:lineRule="auto"/>
            </w:pPr>
          </w:p>
        </w:tc>
      </w:tr>
    </w:tbl>
    <w:p w:rsidR="00291195" w:rsidRDefault="00291195">
      <w:pPr>
        <w:spacing w:after="0" w:line="240" w:lineRule="auto"/>
      </w:pPr>
    </w:p>
    <w:sectPr w:rsidR="00291195">
      <w:footerReference w:type="default" r:id="rId42"/>
      <w:pgSz w:w="16837" w:h="11905"/>
      <w:pgMar w:top="850" w:right="453" w:bottom="453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ADB" w:rsidRDefault="00DD3ADB">
      <w:pPr>
        <w:spacing w:after="0" w:line="240" w:lineRule="auto"/>
      </w:pPr>
      <w:r>
        <w:separator/>
      </w:r>
    </w:p>
  </w:endnote>
  <w:endnote w:type="continuationSeparator" w:id="0">
    <w:p w:rsidR="00DD3ADB" w:rsidRDefault="00DD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"/>
      <w:gridCol w:w="3121"/>
      <w:gridCol w:w="6983"/>
      <w:gridCol w:w="5655"/>
      <w:gridCol w:w="66"/>
    </w:tblGrid>
    <w:tr w:rsidR="00291195">
      <w:tc>
        <w:tcPr>
          <w:tcW w:w="72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3121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6983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565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55"/>
          </w:tblGrid>
          <w:tr w:rsidR="00291195">
            <w:trPr>
              <w:trHeight w:val="234"/>
            </w:trPr>
            <w:tc>
              <w:tcPr>
                <w:tcW w:w="56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1195" w:rsidRDefault="00DD3ADB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color w:val="000000"/>
                  </w:rPr>
                  <w:t>Puslapis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PAGE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iš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NUMPAGES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</w:p>
            </w:tc>
          </w:tr>
        </w:tbl>
        <w:p w:rsidR="00291195" w:rsidRDefault="00291195">
          <w:pPr>
            <w:spacing w:after="0" w:line="240" w:lineRule="auto"/>
          </w:pPr>
        </w:p>
      </w:tc>
      <w:tc>
        <w:tcPr>
          <w:tcW w:w="66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</w:tr>
    <w:tr w:rsidR="00291195">
      <w:tc>
        <w:tcPr>
          <w:tcW w:w="72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312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21"/>
          </w:tblGrid>
          <w:tr w:rsidR="00291195">
            <w:trPr>
              <w:trHeight w:val="241"/>
            </w:trPr>
            <w:tc>
              <w:tcPr>
                <w:tcW w:w="31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39" w:type="dxa"/>
                  <w:right w:w="39" w:type="dxa"/>
                </w:tcMar>
              </w:tcPr>
              <w:p w:rsidR="00291195" w:rsidRDefault="00DD3ADB">
                <w:pPr>
                  <w:spacing w:after="0" w:line="240" w:lineRule="auto"/>
                </w:pPr>
                <w:proofErr w:type="spellStart"/>
                <w:r>
                  <w:rPr>
                    <w:color w:val="000000"/>
                  </w:rPr>
                  <w:t>Suformuota</w:t>
                </w:r>
                <w:proofErr w:type="spellEnd"/>
                <w:r>
                  <w:rPr>
                    <w:color w:val="000000"/>
                  </w:rPr>
                  <w:t>: 2020-07-10 11:47:11</w:t>
                </w:r>
              </w:p>
            </w:tc>
          </w:tr>
        </w:tbl>
        <w:p w:rsidR="00291195" w:rsidRDefault="00291195">
          <w:pPr>
            <w:spacing w:after="0" w:line="240" w:lineRule="auto"/>
          </w:pPr>
        </w:p>
      </w:tc>
      <w:tc>
        <w:tcPr>
          <w:tcW w:w="6983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5655" w:type="dxa"/>
          <w:vMerge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66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</w:tr>
    <w:tr w:rsidR="00291195">
      <w:tc>
        <w:tcPr>
          <w:tcW w:w="72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3121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6983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5655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  <w:tc>
        <w:tcPr>
          <w:tcW w:w="66" w:type="dxa"/>
        </w:tcPr>
        <w:p w:rsidR="00291195" w:rsidRDefault="0029119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ADB" w:rsidRDefault="00DD3ADB">
      <w:pPr>
        <w:spacing w:after="0" w:line="240" w:lineRule="auto"/>
      </w:pPr>
      <w:r>
        <w:separator/>
      </w:r>
    </w:p>
  </w:footnote>
  <w:footnote w:type="continuationSeparator" w:id="0">
    <w:p w:rsidR="00DD3ADB" w:rsidRDefault="00DD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95"/>
    <w:rsid w:val="00291195"/>
    <w:rsid w:val="00663B5B"/>
    <w:rsid w:val="00D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6413-92C4-48FA-ABD3-307045A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sveikatos rodiklių suvestinė2020</dc:title>
  <dc:creator>User</dc:creator>
  <dc:description/>
  <cp:lastModifiedBy>User</cp:lastModifiedBy>
  <cp:revision>2</cp:revision>
  <dcterms:created xsi:type="dcterms:W3CDTF">2020-07-10T08:52:00Z</dcterms:created>
  <dcterms:modified xsi:type="dcterms:W3CDTF">2020-07-10T08:52:00Z</dcterms:modified>
</cp:coreProperties>
</file>