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footer0.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44"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68"/>
        <w:gridCol w:w="4"/>
        <w:gridCol w:w="4"/>
        <w:gridCol w:w="15755"/>
        <w:gridCol w:w="61"/>
      </w:tblGrid>
      <w:tr>
        <w:trPr>
          <w:trHeight w:val="90"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tcPr>
          <w:p>
            <w:pPr>
              <w:pStyle w:val="EmptyCellLayoutStyle"/>
              <w:spacing w:after="0" w:line="240" w:lineRule="auto"/>
            </w:pPr>
          </w:p>
        </w:tc>
        <w:tc>
          <w:tcPr>
            <w:tcW w:w="61" w:type="dxa"/>
          </w:tcPr>
          <w:p>
            <w:pPr>
              <w:pStyle w:val="EmptyCellLayoutStyle"/>
              <w:spacing w:after="0" w:line="240" w:lineRule="auto"/>
            </w:pPr>
          </w:p>
        </w:tc>
      </w:tr>
      <w:tr>
        <w:trPr>
          <w:trHeight w:val="410"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hMerge w:val="restart"/>
          </w:tcPr>
          <w:tbl>
            <w:tblPr>
              <w:tblCellMar>
                <w:top w:w="0" w:type="dxa"/>
                <w:left w:w="0" w:type="dxa"/>
                <w:bottom w:w="0" w:type="dxa"/>
                <w:right w:w="0" w:type="dxa"/>
              </w:tblCellMar>
            </w:tblPr>
            <w:tblGrid>
              <w:gridCol w:w="15760"/>
            </w:tblGrid>
            <w:tr>
              <w:trPr>
                <w:trHeight w:val="332" w:hRule="atLeast"/>
              </w:trPr>
              <w:tc>
                <w:tcPr>
                  <w:tcW w:w="157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Times New Roman" w:hAnsi="Times New Roman" w:eastAsia="Times New Roman"/>
                      <w:b/>
                      <w:color w:val="000000"/>
                      <w:sz w:val="28"/>
                    </w:rPr>
                    <w:t xml:space="preserve">Švenčionių r. sav.</w:t>
                  </w:r>
                  <w:r>
                    <w:rPr>
                      <w:rFonts w:ascii="Times New Roman" w:hAnsi="Times New Roman" w:eastAsia="Times New Roman"/>
                      <w:b/>
                      <w:color w:val="000000"/>
                      <w:sz w:val="28"/>
                    </w:rPr>
                    <w:t xml:space="preserve"> mokinių sveikatos rodiklių suvestinė</w:t>
                  </w:r>
                </w:p>
              </w:tc>
            </w:tr>
          </w:tbl>
          <w:p>
            <w:pPr>
              <w:spacing w:after="0" w:line="240" w:lineRule="auto"/>
            </w:pPr>
          </w:p>
        </w:tc>
        <w:tc>
          <w:tcPr>
            <w:tcW w:w="15755" w:type="dxa"/>
            <w:hMerge w:val="continue"/>
          </w:tcPr>
          <w:p>
            <w:pPr>
              <w:pStyle w:val="EmptyCellLayoutStyle"/>
              <w:spacing w:after="0" w:line="240" w:lineRule="auto"/>
            </w:pPr>
          </w:p>
        </w:tc>
        <w:tc>
          <w:tcPr>
            <w:tcW w:w="61" w:type="dxa"/>
          </w:tcPr>
          <w:p>
            <w:pPr>
              <w:pStyle w:val="EmptyCellLayoutStyle"/>
              <w:spacing w:after="0" w:line="240" w:lineRule="auto"/>
            </w:pPr>
          </w:p>
        </w:tc>
      </w:tr>
      <w:tr>
        <w:trPr>
          <w:trHeight w:val="140"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tcPr>
          <w:p>
            <w:pPr>
              <w:pStyle w:val="EmptyCellLayoutStyle"/>
              <w:spacing w:after="0" w:line="240" w:lineRule="auto"/>
            </w:pPr>
          </w:p>
        </w:tc>
        <w:tc>
          <w:tcPr>
            <w:tcW w:w="61" w:type="dxa"/>
          </w:tcPr>
          <w:p>
            <w:pPr>
              <w:pStyle w:val="EmptyCellLayoutStyle"/>
              <w:spacing w:after="0" w:line="240" w:lineRule="auto"/>
            </w:pPr>
          </w:p>
        </w:tc>
      </w:tr>
      <w:tr>
        <w:trPr>
          <w:trHeight w:val="340"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hMerge w:val="restart"/>
          </w:tcPr>
          <w:tbl>
            <w:tblPr>
              <w:tblCellMar>
                <w:top w:w="0" w:type="dxa"/>
                <w:left w:w="0" w:type="dxa"/>
                <w:bottom w:w="0" w:type="dxa"/>
                <w:right w:w="0" w:type="dxa"/>
              </w:tblCellMar>
            </w:tblPr>
            <w:tblGrid>
              <w:gridCol w:w="15760"/>
            </w:tblGrid>
            <w:tr>
              <w:trPr>
                <w:trHeight w:val="262" w:hRule="atLeast"/>
              </w:trPr>
              <w:tc>
                <w:tcPr>
                  <w:tcW w:w="157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imes New Roman" w:hAnsi="Times New Roman" w:eastAsia="Times New Roman"/>
                      <w:b/>
                      <w:color w:val="000000"/>
                      <w:sz w:val="20"/>
                    </w:rPr>
                    <w:t xml:space="preserve">Filtras:</w:t>
                  </w:r>
                  <w:r>
                    <w:rPr>
                      <w:rFonts w:ascii="Times New Roman" w:hAnsi="Times New Roman" w:eastAsia="Times New Roman"/>
                      <w:color w:val="000000"/>
                      <w:sz w:val="20"/>
                    </w:rPr>
                    <w:t xml:space="preserve"> </w:t>
                  </w:r>
                  <w:r>
                    <w:rPr>
                      <w:rFonts w:ascii="Times New Roman" w:hAnsi="Times New Roman" w:eastAsia="Times New Roman"/>
                      <w:b/>
                      <w:color w:val="000000"/>
                      <w:sz w:val="20"/>
                    </w:rPr>
                    <w:t xml:space="preserve">Metai:</w:t>
                  </w:r>
                  <w:r>
                    <w:rPr>
                      <w:rFonts w:ascii="Times New Roman" w:hAnsi="Times New Roman" w:eastAsia="Times New Roman"/>
                      <w:color w:val="000000"/>
                      <w:sz w:val="20"/>
                    </w:rPr>
                    <w:t xml:space="preserve"> </w:t>
                  </w:r>
                  <w:r>
                    <w:rPr>
                      <w:rFonts w:ascii="Times New Roman" w:hAnsi="Times New Roman" w:eastAsia="Times New Roman"/>
                      <w:color w:val="000000"/>
                      <w:sz w:val="20"/>
                    </w:rPr>
                    <w:t xml:space="preserve">2020</w:t>
                  </w:r>
                  <w:r>
                    <w:rPr>
                      <w:rFonts w:ascii="Times New Roman" w:hAnsi="Times New Roman" w:eastAsia="Times New Roman"/>
                      <w:color w:val="000000"/>
                      <w:sz w:val="20"/>
                    </w:rPr>
                    <w:t xml:space="preserve">; </w:t>
                  </w:r>
                  <w:r>
                    <w:rPr>
                      <w:rFonts w:ascii="Times New Roman" w:hAnsi="Times New Roman" w:eastAsia="Times New Roman"/>
                      <w:b/>
                      <w:color w:val="000000"/>
                      <w:sz w:val="20"/>
                    </w:rPr>
                    <w:t xml:space="preserve">Ugdymo įstaigos savivaldybė:</w:t>
                  </w:r>
                  <w:r>
                    <w:rPr>
                      <w:rFonts w:ascii="Times New Roman" w:hAnsi="Times New Roman" w:eastAsia="Times New Roman"/>
                      <w:b/>
                      <w:color w:val="000000"/>
                      <w:sz w:val="20"/>
                    </w:rPr>
                    <w:t xml:space="preserve"> </w:t>
                  </w:r>
                  <w:r>
                    <w:rPr>
                      <w:rFonts w:ascii="Times New Roman" w:hAnsi="Times New Roman" w:eastAsia="Times New Roman"/>
                      <w:color w:val="000000"/>
                      <w:sz w:val="20"/>
                    </w:rPr>
                    <w:t xml:space="preserve">Švenčionių r. sav.</w:t>
                  </w:r>
                  <w:r>
                    <w:rPr>
                      <w:rFonts w:ascii="Times New Roman" w:hAnsi="Times New Roman" w:eastAsia="Times New Roman"/>
                      <w:color w:val="000000"/>
                      <w:sz w:val="20"/>
                    </w:rPr>
                    <w:t xml:space="preserve">; </w:t>
                  </w:r>
                  <w:r>
                    <w:rPr>
                      <w:rFonts w:ascii="Times New Roman" w:hAnsi="Times New Roman" w:eastAsia="Times New Roman"/>
                      <w:b/>
                      <w:color w:val="000000"/>
                      <w:sz w:val="20"/>
                    </w:rPr>
                    <w:t xml:space="preserve">Amžius:</w:t>
                  </w:r>
                  <w:r>
                    <w:rPr>
                      <w:rFonts w:ascii="Times New Roman" w:hAnsi="Times New Roman" w:eastAsia="Times New Roman"/>
                      <w:color w:val="000000"/>
                      <w:sz w:val="20"/>
                    </w:rPr>
                    <w:t xml:space="preserve"> </w:t>
                  </w:r>
                  <w:r>
                    <w:rPr>
                      <w:rFonts w:ascii="Times New Roman" w:hAnsi="Times New Roman" w:eastAsia="Times New Roman"/>
                      <w:color w:val="000000"/>
                      <w:sz w:val="20"/>
                    </w:rPr>
                    <w:t xml:space="preserve">0-99</w:t>
                  </w:r>
                  <w:r>
                    <w:rPr>
                      <w:rFonts w:ascii="Times New Roman" w:hAnsi="Times New Roman" w:eastAsia="Times New Roman"/>
                      <w:color w:val="000000"/>
                      <w:sz w:val="20"/>
                    </w:rPr>
                    <w:t xml:space="preserve">; </w:t>
                  </w:r>
                  <w:r>
                    <w:rPr>
                      <w:rFonts w:ascii="Times New Roman" w:hAnsi="Times New Roman" w:eastAsia="Times New Roman"/>
                      <w:b/>
                      <w:color w:val="000000"/>
                      <w:sz w:val="20"/>
                    </w:rPr>
                    <w:t xml:space="preserve">Ugdymo įstaigos tipas:</w:t>
                  </w:r>
                  <w:r>
                    <w:rPr>
                      <w:rFonts w:ascii="Times New Roman" w:hAnsi="Times New Roman" w:eastAsia="Times New Roman"/>
                      <w:color w:val="000000"/>
                      <w:sz w:val="20"/>
                    </w:rPr>
                    <w:t xml:space="preserve"> </w:t>
                  </w:r>
                  <w:r>
                    <w:rPr>
                      <w:rFonts w:ascii="Times New Roman" w:hAnsi="Times New Roman" w:eastAsia="Times New Roman"/>
                      <w:color w:val="000000"/>
                      <w:sz w:val="20"/>
                    </w:rPr>
                    <w:t xml:space="preserve">Visi</w:t>
                  </w:r>
                </w:p>
              </w:tc>
            </w:tr>
          </w:tbl>
          <w:p>
            <w:pPr>
              <w:spacing w:after="0" w:line="240" w:lineRule="auto"/>
            </w:pPr>
          </w:p>
        </w:tc>
        <w:tc>
          <w:tcPr>
            <w:tcW w:w="61" w:type="dxa"/>
          </w:tcPr>
          <w:p>
            <w:pPr>
              <w:pStyle w:val="EmptyCellLayoutStyle"/>
              <w:spacing w:after="0" w:line="240" w:lineRule="auto"/>
            </w:pPr>
          </w:p>
        </w:tc>
      </w:tr>
      <w:tr>
        <w:trPr>
          <w:trHeight w:val="152"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tcPr>
          <w:p>
            <w:pPr>
              <w:pStyle w:val="EmptyCellLayoutStyle"/>
              <w:spacing w:after="0" w:line="240" w:lineRule="auto"/>
            </w:pPr>
          </w:p>
        </w:tc>
        <w:tc>
          <w:tcPr>
            <w:tcW w:w="61" w:type="dxa"/>
          </w:tcPr>
          <w:p>
            <w:pPr>
              <w:pStyle w:val="EmptyCellLayoutStyle"/>
              <w:spacing w:after="0" w:line="240" w:lineRule="auto"/>
            </w:pPr>
          </w:p>
        </w:tc>
      </w:tr>
      <w:tr>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737"/>
              <w:gridCol w:w="7341"/>
              <w:gridCol w:w="737"/>
              <w:gridCol w:w="3741"/>
              <w:gridCol w:w="1984"/>
              <w:gridCol w:w="1218"/>
            </w:tblGrid>
            <w:tr>
              <w:trPr>
                <w:trHeight w:val="466" w:hRule="atLeast"/>
              </w:trPr>
              <w:tc>
                <w:tcPr>
                  <w:tcW w:w="737" w:type="dxa"/>
                  <w:tcBorders>
                    <w:top w:val="nil" w:color="000000" w:sz="7"/>
                    <w:left w:val="nil" w:color="000000" w:sz="7"/>
                    <w:bottom w:val="nil" w:color="000000" w:sz="7"/>
                    <w:right w:val="nil" w:color="000000" w:sz="7"/>
                  </w:tcBorders>
                  <w:shd w:val="clear" w:fill="FFFFFF"/>
                  <w:tcMar>
                    <w:top w:w="0" w:type="dxa"/>
                    <w:left w:w="0" w:type="dxa"/>
                    <w:bottom w:w="0" w:type="dxa"/>
                    <w:right w:w="0" w:type="dxa"/>
                  </w:tcMar>
                </w:tcPr>
                <w:p>
                  <w:pPr>
                    <w:spacing w:after="0" w:line="240" w:lineRule="auto"/>
                  </w:pPr>
                  <w:r w:rsidRPr="" w:rsidDel="" w:rsidR="">
                    <w:drawing>
                      <wp:inline>
                        <wp:extent cx="468000" cy="345600"/>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468000" cy="345600"/>
                                </a:xfrm>
                                <a:prstGeom prst="rect">
                                  <a:avLst/>
                                </a:prstGeom>
                              </pic:spPr>
                            </pic:pic>
                          </a:graphicData>
                        </a:graphic>
                      </wp:inline>
                    </w:drawing>
                  </w:r>
                </w:p>
              </w:tc>
              <w:tc>
                <w:tcPr>
                  <w:tcW w:w="734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Times New Roman" w:hAnsi="Times New Roman" w:eastAsia="Times New Roman"/>
                      <w:color w:val="000000"/>
                      <w:sz w:val="20"/>
                    </w:rPr>
                    <w:t xml:space="preserve">Statistiškai reikšmingai mažesnė rodiklio reikšmė, palyginus su </w:t>
                  </w:r>
                  <w:r>
                    <w:rPr>
                      <w:rFonts w:ascii="Times New Roman" w:hAnsi="Times New Roman" w:eastAsia="Times New Roman"/>
                      <w:color w:val="000000"/>
                      <w:sz w:val="20"/>
                    </w:rPr>
                    <w:t xml:space="preserve">rodiklio reikšme Lietuvoje</w:t>
                  </w:r>
                </w:p>
              </w:tc>
              <w:tc>
                <w:tcPr>
                  <w:tcW w:w="737" w:type="dxa"/>
                  <w:tcBorders>
                    <w:top w:val="nil" w:color="000000" w:sz="7"/>
                    <w:left w:val="nil" w:color="000000" w:sz="7"/>
                    <w:bottom w:val="nil" w:color="000000" w:sz="7"/>
                    <w:right w:val="nil" w:color="000000" w:sz="7"/>
                  </w:tcBorders>
                  <w:shd w:val="clear" w:fill="FFFFFF"/>
                  <w:tcMar>
                    <w:top w:w="0" w:type="dxa"/>
                    <w:left w:w="0" w:type="dxa"/>
                    <w:bottom w:w="0" w:type="dxa"/>
                    <w:right w:w="0" w:type="dxa"/>
                  </w:tcMar>
                </w:tcPr>
                <w:p>
                  <w:pPr>
                    <w:spacing w:after="0" w:line="240" w:lineRule="auto"/>
                  </w:pPr>
                  <w:r w:rsidRPr="" w:rsidDel="" w:rsidR="">
                    <w:drawing>
                      <wp:inline>
                        <wp:extent cx="468000" cy="345600"/>
                        <wp:docPr id="2" name="img4.png"/>
                        <a:graphic>
                          <a:graphicData uri="http://schemas.openxmlformats.org/drawingml/2006/picture">
                            <pic:pic>
                              <pic:nvPicPr>
                                <pic:cNvPr id="3" name="img4.png"/>
                                <pic:cNvPicPr/>
                              </pic:nvPicPr>
                              <pic:blipFill>
                                <a:blip r:embed="rId7" cstate="print"/>
                                <a:stretch>
                                  <a:fillRect r="0" b="0"/>
                                </a:stretch>
                              </pic:blipFill>
                              <pic:spPr>
                                <a:xfrm>
                                  <a:off x="0" y="0"/>
                                  <a:ext cx="468000" cy="345600"/>
                                </a:xfrm>
                                <a:prstGeom prst="rect">
                                  <a:avLst/>
                                </a:prstGeom>
                              </pic:spPr>
                            </pic:pic>
                          </a:graphicData>
                        </a:graphic>
                      </wp:inline>
                    </w:drawing>
                  </w:r>
                </w:p>
              </w:tc>
              <w:tc>
                <w:tcPr>
                  <w:tcW w:w="3741" w:type="dxa"/>
                  <w:hMerge w:val="restart"/>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Times New Roman" w:hAnsi="Times New Roman" w:eastAsia="Times New Roman"/>
                      <w:color w:val="000000"/>
                      <w:sz w:val="20"/>
                    </w:rPr>
                    <w:t xml:space="preserve">Statistiškai reikšmingai didesnė rodiklio reikšmė, palyginus su </w:t>
                  </w:r>
                  <w:r>
                    <w:rPr>
                      <w:rFonts w:ascii="Times New Roman" w:hAnsi="Times New Roman" w:eastAsia="Times New Roman"/>
                      <w:color w:val="000000"/>
                      <w:sz w:val="20"/>
                    </w:rPr>
                    <w:t xml:space="preserve">rodiklio reikšme Lietuvoje</w:t>
                  </w:r>
                </w:p>
              </w:tc>
              <w:tc>
                <w:tcPr>
                  <w:tcW w:w="1984" w:type="dxa"/>
                  <w:hMerge w:val="continue"/>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1218" w:type="dxa"/>
                  <w:hMerge w:val="continue"/>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r>
            <w:tr>
              <w:trPr>
                <w:trHeight w:val="466" w:hRule="atLeast"/>
              </w:trPr>
              <w:tc>
                <w:tcPr>
                  <w:tcW w:w="737" w:type="dxa"/>
                  <w:tcBorders>
                    <w:top w:val="nil" w:color="000000" w:sz="7"/>
                    <w:left w:val="nil" w:color="000000" w:sz="7"/>
                    <w:bottom w:val="nil" w:color="000000" w:sz="7"/>
                    <w:right w:val="nil" w:color="000000" w:sz="7"/>
                  </w:tcBorders>
                  <w:shd w:val="clear" w:fill="FFFFFF"/>
                  <w:tcMar>
                    <w:top w:w="0" w:type="dxa"/>
                    <w:left w:w="0" w:type="dxa"/>
                    <w:bottom w:w="0" w:type="dxa"/>
                    <w:right w:w="0" w:type="dxa"/>
                  </w:tcMar>
                </w:tcPr>
                <w:p>
                  <w:pPr>
                    <w:spacing w:after="0" w:line="240" w:lineRule="auto"/>
                  </w:pPr>
                  <w:r w:rsidRPr="" w:rsidDel="" w:rsidR="">
                    <w:drawing>
                      <wp:inline>
                        <wp:extent cx="468000" cy="345600"/>
                        <wp:docPr id="4" name="img5.png"/>
                        <a:graphic>
                          <a:graphicData uri="http://schemas.openxmlformats.org/drawingml/2006/picture">
                            <pic:pic>
                              <pic:nvPicPr>
                                <pic:cNvPr id="5" name="img5.png"/>
                                <pic:cNvPicPr/>
                              </pic:nvPicPr>
                              <pic:blipFill>
                                <a:blip r:embed="rId8" cstate="print"/>
                                <a:stretch>
                                  <a:fillRect r="0" b="0"/>
                                </a:stretch>
                              </pic:blipFill>
                              <pic:spPr>
                                <a:xfrm>
                                  <a:off x="0" y="0"/>
                                  <a:ext cx="468000" cy="345600"/>
                                </a:xfrm>
                                <a:prstGeom prst="rect">
                                  <a:avLst/>
                                </a:prstGeom>
                              </pic:spPr>
                            </pic:pic>
                          </a:graphicData>
                        </a:graphic>
                      </wp:inline>
                    </w:drawing>
                  </w:r>
                </w:p>
              </w:tc>
              <w:tc>
                <w:tcPr>
                  <w:tcW w:w="734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jc w:val="left"/>
                  </w:pPr>
                  <w:r>
                    <w:rPr>
                      <w:rFonts w:ascii="Times New Roman" w:hAnsi="Times New Roman" w:eastAsia="Times New Roman"/>
                      <w:color w:val="000000"/>
                      <w:sz w:val="20"/>
                    </w:rPr>
                    <w:t xml:space="preserve">Rodiklis statistiškai reikšmingai nesiskiria, palyginus su </w:t>
                  </w:r>
                  <w:r>
                    <w:rPr>
                      <w:rFonts w:ascii="Times New Roman" w:hAnsi="Times New Roman" w:eastAsia="Times New Roman"/>
                      <w:color w:val="000000"/>
                      <w:sz w:val="20"/>
                    </w:rPr>
                    <w:t xml:space="preserve">rodiklio reikšme Lietuvoje</w:t>
                  </w:r>
                </w:p>
              </w:tc>
              <w:tc>
                <w:tcPr>
                  <w:tcW w:w="737" w:type="dxa"/>
                  <w:tcBorders>
                    <w:top w:val="nil" w:color="000000" w:sz="7"/>
                    <w:left w:val="nil" w:color="000000" w:sz="7"/>
                    <w:bottom w:val="nil" w:color="000000" w:sz="7"/>
                    <w:right w:val="nil" w:color="000000" w:sz="7"/>
                  </w:tcBorders>
                  <w:shd w:val="clear" w:fill="FFFFFF"/>
                  <w:tcMar>
                    <w:top w:w="39" w:type="dxa"/>
                    <w:left w:w="39" w:type="dxa"/>
                    <w:bottom w:w="39" w:type="dxa"/>
                    <w:right w:w="39" w:type="dxa"/>
                  </w:tcMar>
                </w:tcPr>
                <w:p>
                  <w:pPr>
                    <w:spacing w:after="0" w:line="240" w:lineRule="auto"/>
                  </w:pPr>
                </w:p>
              </w:tc>
              <w:tc>
                <w:tcPr>
                  <w:tcW w:w="3741"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c>
                <w:tcPr>
                  <w:tcW w:w="1984" w:type="dxa"/>
                  <w:tcBorders>
                    <w:top w:val="nil" w:color="FFFFFF" w:sz="1"/>
                    <w:left w:val="nil" w:color="FFFFFF" w:sz="1"/>
                    <w:bottom w:val="nil" w:color="FFFFFF" w:sz="1"/>
                    <w:right w:val="nil" w:color="FFFFFF" w:sz="1"/>
                  </w:tcBorders>
                  <w:tcMar>
                    <w:top w:w="0" w:type="dxa"/>
                    <w:left w:w="0" w:type="dxa"/>
                    <w:bottom w:w="0" w:type="dxa"/>
                    <w:right w:w="0" w:type="dxa"/>
                  </w:tcMar>
                </w:tcPr>
                <w:p>
                  <w:pPr>
                    <w:spacing w:after="0" w:line="240" w:lineRule="auto"/>
                  </w:pPr>
                  <w:r w:rsidRPr="" w:rsidDel="" w:rsidR="">
                    <w:drawing>
                      <wp:inline>
                        <wp:extent cx="1260000" cy="345600"/>
                        <wp:docPr id="6" name="img6.png"/>
                        <a:graphic>
                          <a:graphicData uri="http://schemas.openxmlformats.org/drawingml/2006/picture">
                            <pic:pic>
                              <pic:nvPicPr>
                                <pic:cNvPr id="7" name="img6.png"/>
                                <pic:cNvPicPr/>
                              </pic:nvPicPr>
                              <pic:blipFill>
                                <a:blip r:embed="rId9" cstate="print"/>
                                <a:stretch>
                                  <a:fillRect r="0" b="0"/>
                                </a:stretch>
                              </pic:blipFill>
                              <pic:spPr>
                                <a:xfrm>
                                  <a:off x="0" y="0"/>
                                  <a:ext cx="1260000" cy="345600"/>
                                </a:xfrm>
                                <a:prstGeom prst="rect">
                                  <a:avLst/>
                                </a:prstGeom>
                              </pic:spPr>
                            </pic:pic>
                          </a:graphicData>
                        </a:graphic>
                      </wp:inline>
                    </w:drawing>
                  </w:r>
                </w:p>
              </w:tc>
              <w:tc>
                <w:tcPr>
                  <w:tcW w:w="1218" w:type="dxa"/>
                  <w:tcBorders>
                    <w:top w:val="nil" w:color="D3D3D3" w:sz="7"/>
                    <w:left w:val="nil" w:color="D3D3D3" w:sz="7"/>
                    <w:bottom w:val="nil" w:color="D3D3D3" w:sz="7"/>
                    <w:right w:val="nil" w:color="D3D3D3" w:sz="7"/>
                  </w:tcBorders>
                  <w:tcMar>
                    <w:top w:w="39" w:type="dxa"/>
                    <w:left w:w="39" w:type="dxa"/>
                    <w:bottom w:w="39" w:type="dxa"/>
                    <w:right w:w="39" w:type="dxa"/>
                  </w:tcMar>
                </w:tcPr>
                <w:p>
                  <w:pPr>
                    <w:spacing w:after="0" w:line="240" w:lineRule="auto"/>
                  </w:pPr>
                </w:p>
              </w:tc>
            </w:tr>
          </w:tbl>
          <w:p>
            <w:pPr>
              <w:spacing w:after="0" w:line="240" w:lineRule="auto"/>
            </w:pPr>
          </w:p>
        </w:tc>
        <w:tc>
          <w:tcPr>
            <w:tcW w:w="15755" w:type="dxa"/>
            <w:hMerge w:val="continue"/>
          </w:tcPr>
          <w:p>
            <w:pPr>
              <w:pStyle w:val="EmptyCellLayoutStyle"/>
              <w:spacing w:after="0" w:line="240" w:lineRule="auto"/>
            </w:pPr>
          </w:p>
        </w:tc>
        <w:tc>
          <w:tcPr>
            <w:tcW w:w="61" w:type="dxa"/>
          </w:tcPr>
          <w:p>
            <w:pPr>
              <w:pStyle w:val="EmptyCellLayoutStyle"/>
              <w:spacing w:after="0" w:line="240" w:lineRule="auto"/>
            </w:pPr>
          </w:p>
        </w:tc>
      </w:tr>
      <w:tr>
        <w:trPr>
          <w:trHeight w:val="35"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tcPr>
          <w:p>
            <w:pPr>
              <w:pStyle w:val="EmptyCellLayoutStyle"/>
              <w:spacing w:after="0" w:line="240" w:lineRule="auto"/>
            </w:pPr>
          </w:p>
        </w:tc>
        <w:tc>
          <w:tcPr>
            <w:tcW w:w="61" w:type="dxa"/>
          </w:tcPr>
          <w:p>
            <w:pPr>
              <w:pStyle w:val="EmptyCellLayoutStyle"/>
              <w:spacing w:after="0" w:line="240" w:lineRule="auto"/>
            </w:pPr>
          </w:p>
        </w:tc>
      </w:tr>
      <w:tr>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hMerge w:val="restart"/>
          </w:tcPr>
          <w:tbl>
            <w:tblPr>
              <w:tblBorders>
                <w:top w:val="single" w:color="000000" w:sz="1"/>
                <w:left w:val="single" w:color="000000" w:sz="3"/>
                <w:bottom w:val="single" w:color="000000" w:sz="1"/>
                <w:right w:val="single" w:color="000000" w:sz="3"/>
              </w:tblBorders>
              <w:tblCellMar>
                <w:top w:w="0" w:type="dxa"/>
                <w:left w:w="0" w:type="dxa"/>
                <w:bottom w:w="0" w:type="dxa"/>
                <w:right w:w="0" w:type="dxa"/>
              </w:tblCellMar>
            </w:tblPr>
            <w:tblGrid>
              <w:gridCol w:w="737"/>
              <w:gridCol w:w="7341"/>
              <w:gridCol w:w="737"/>
              <w:gridCol w:w="1247"/>
              <w:gridCol w:w="737"/>
              <w:gridCol w:w="737"/>
              <w:gridCol w:w="1020"/>
              <w:gridCol w:w="1984"/>
              <w:gridCol w:w="1218"/>
            </w:tblGrid>
            <w:tr>
              <w:trPr>
                <w:trHeight w:val="77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Eil. Nr.</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Rodiklis</w:t>
                  </w:r>
                </w:p>
              </w:tc>
              <w:tc>
                <w:tcPr>
                  <w:tcW w:w="737"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N</w:t>
                  </w:r>
                </w:p>
              </w:tc>
              <w:tc>
                <w:tcPr>
                  <w:tcW w:w="1247"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Rodiklio reikšmė savivaldybėje</w:t>
                  </w:r>
                </w:p>
              </w:tc>
              <w:tc>
                <w:tcPr>
                  <w:tcW w:w="737"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Min</w:t>
                  </w:r>
                </w:p>
              </w:tc>
              <w:tc>
                <w:tcPr>
                  <w:tcW w:w="737"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Max</w:t>
                  </w:r>
                </w:p>
              </w:tc>
              <w:tc>
                <w:tcPr>
                  <w:tcW w:w="1020"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Rodiklio reikšmė Lietuvoje</w:t>
                  </w:r>
                </w:p>
              </w:tc>
              <w:tc>
                <w:tcPr>
                  <w:tcW w:w="1984"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Vaizdavimas</w:t>
                  </w:r>
                </w:p>
              </w:tc>
              <w:tc>
                <w:tcPr>
                  <w:tcW w:w="1218" w:type="dxa"/>
                  <w:tcBorders>
                    <w:top w:val="single" w:color="000000" w:sz="1"/>
                    <w:left w:val="single" w:color="000000" w:sz="1"/>
                    <w:bottom w:val="single" w:color="000000" w:sz="1"/>
                    <w:right w:val="single" w:color="000000" w:sz="3"/>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Pokytis nuo praeitų metų</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lankančių ugdymo įstaigas savivaldybėje, skaičius</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3386</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3386</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493857,00</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8" name="img7.png"/>
                              <a:graphic>
                                <a:graphicData uri="http://schemas.openxmlformats.org/drawingml/2006/picture">
                                  <pic:pic>
                                    <pic:nvPicPr>
                                      <pic:cNvPr id="9" name="img7.png"/>
                                      <pic:cNvPicPr/>
                                    </pic:nvPicPr>
                                    <pic:blipFill>
                                      <a:blip r:embed="rId10"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-2,81</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pristačiusių formą Nr. E027-1,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1278</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37,74</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29,00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443,00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49,89</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10" name="img8.png"/>
                              <a:graphic>
                                <a:graphicData uri="http://schemas.openxmlformats.org/drawingml/2006/picture">
                                  <pic:pic>
                                    <pic:nvPicPr>
                                      <pic:cNvPr id="11" name="img8.png"/>
                                      <pic:cNvPicPr/>
                                    </pic:nvPicPr>
                                    <pic:blipFill>
                                      <a:blip r:embed="rId11"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-20,77</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3.</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kurių formos  Nr. E027-1 formos I dalis "Fizinės būklės įvertinimas" užpildyta,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2371</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70,02</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43,00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583,00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74,51</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12" name="img9.png"/>
                              <a:graphic>
                                <a:graphicData uri="http://schemas.openxmlformats.org/drawingml/2006/picture">
                                  <pic:pic>
                                    <pic:nvPicPr>
                                      <pic:cNvPr id="13" name="img9.png"/>
                                      <pic:cNvPicPr/>
                                    </pic:nvPicPr>
                                    <pic:blipFill>
                                      <a:blip r:embed="rId12"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0,98</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4.</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kurių formos  Nr. E027-1 formos II dalis "Dantų ir žandikaulių būklės įvertinimas" užpildyta,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1350</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39,87</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33,00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465,00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53,10</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14" name="img10.png"/>
                              <a:graphic>
                                <a:graphicData uri="http://schemas.openxmlformats.org/drawingml/2006/picture">
                                  <pic:pic>
                                    <pic:nvPicPr>
                                      <pic:cNvPr id="15" name="img10.png"/>
                                      <pic:cNvPicPr/>
                                    </pic:nvPicPr>
                                    <pic:blipFill>
                                      <a:blip r:embed="rId13"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-20,91</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5.</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galinčių dalyvauti ugdymo veikloje be jokių apribojimų,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1798</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75,83</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23,00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552,00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85,75</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16" name="img11.png"/>
                              <a:graphic>
                                <a:graphicData uri="http://schemas.openxmlformats.org/drawingml/2006/picture">
                                  <pic:pic>
                                    <pic:nvPicPr>
                                      <pic:cNvPr id="17" name="img11.png"/>
                                      <pic:cNvPicPr/>
                                    </pic:nvPicPr>
                                    <pic:blipFill>
                                      <a:blip r:embed="rId14"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-21,31</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6.</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turinčių per mažą svorį,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225</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13,10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47,00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14,39</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18" name="img12.png"/>
                              <a:graphic>
                                <a:graphicData uri="http://schemas.openxmlformats.org/drawingml/2006/picture">
                                  <pic:pic>
                                    <pic:nvPicPr>
                                      <pic:cNvPr id="19" name="img12.png"/>
                                      <pic:cNvPicPr/>
                                    </pic:nvPicPr>
                                    <pic:blipFill>
                                      <a:blip r:embed="rId15"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-29,47</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7.</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turinčių normalų svorį,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1013</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59,00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18,00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255,00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64,60</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20" name="img13.png"/>
                              <a:graphic>
                                <a:graphicData uri="http://schemas.openxmlformats.org/drawingml/2006/picture">
                                  <pic:pic>
                                    <pic:nvPicPr>
                                      <pic:cNvPr id="21" name="img13.png"/>
                                      <pic:cNvPicPr/>
                                    </pic:nvPicPr>
                                    <pic:blipFill>
                                      <a:blip r:embed="rId16"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-28,81</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8.</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turinčių antsvorį,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321</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18,70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96,00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14,42</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22" name="img14.png"/>
                              <a:graphic>
                                <a:graphicData uri="http://schemas.openxmlformats.org/drawingml/2006/picture">
                                  <pic:pic>
                                    <pic:nvPicPr>
                                      <pic:cNvPr id="23" name="img14.png"/>
                                      <pic:cNvPicPr/>
                                    </pic:nvPicPr>
                                    <pic:blipFill>
                                      <a:blip r:embed="rId17"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-12,77</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9.</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turinčių nutukimą,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158</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9,20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50,00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6,59</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24" name="img15.png"/>
                              <a:graphic>
                                <a:graphicData uri="http://schemas.openxmlformats.org/drawingml/2006/picture">
                                  <pic:pic>
                                    <pic:nvPicPr>
                                      <pic:cNvPr id="25" name="img15.png"/>
                                      <pic:cNvPicPr/>
                                    </pic:nvPicPr>
                                    <pic:blipFill>
                                      <a:blip r:embed="rId18"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-18,13</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10.</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priskiriamų pagrindinei fizinio ugdymo grupei,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2243</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95,16</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40,00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559,00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96,87</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26" name="img16.png"/>
                              <a:graphic>
                                <a:graphicData uri="http://schemas.openxmlformats.org/drawingml/2006/picture">
                                  <pic:pic>
                                    <pic:nvPicPr>
                                      <pic:cNvPr id="27" name="img16.png"/>
                                      <pic:cNvPicPr/>
                                    </pic:nvPicPr>
                                    <pic:blipFill>
                                      <a:blip r:embed="rId19"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-0,49</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11.</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priskiriamų parengiamajai fizinio ugdymo grupei,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75</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3,18</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31,00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2,13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28" name="img17.png"/>
                              <a:graphic>
                                <a:graphicData uri="http://schemas.openxmlformats.org/drawingml/2006/picture">
                                  <pic:pic>
                                    <pic:nvPicPr>
                                      <pic:cNvPr id="29" name="img17.png"/>
                                      <pic:cNvPicPr/>
                                    </pic:nvPicPr>
                                    <pic:blipFill>
                                      <a:blip r:embed="rId20"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31,58</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12.</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priskiriamų specialiajai fizinio ugdymo grupei,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39</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1,65</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18,00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0,99</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30" name="img18.png"/>
                              <a:graphic>
                                <a:graphicData uri="http://schemas.openxmlformats.org/drawingml/2006/picture">
                                  <pic:pic>
                                    <pic:nvPicPr>
                                      <pic:cNvPr id="31" name="img18.png"/>
                                      <pic:cNvPicPr/>
                                    </pic:nvPicPr>
                                    <pic:blipFill>
                                      <a:blip r:embed="rId21"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11,43</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13.</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kuriems nurodytos bendrosios rekomendacijos,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539</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22,73</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299,00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9,63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32" name="img19.png"/>
                              <a:graphic>
                                <a:graphicData uri="http://schemas.openxmlformats.org/drawingml/2006/picture">
                                  <pic:pic>
                                    <pic:nvPicPr>
                                      <pic:cNvPr id="33" name="img19.png"/>
                                      <pic:cNvPicPr/>
                                    </pic:nvPicPr>
                                    <pic:blipFill>
                                      <a:blip r:embed="rId22"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755,56</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14.</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kuriems nurodytos specialiosios rekomendacijos,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466</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19,65</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273,00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7,64</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34" name="img20.png"/>
                              <a:graphic>
                                <a:graphicData uri="http://schemas.openxmlformats.org/drawingml/2006/picture">
                                  <pic:pic>
                                    <pic:nvPicPr>
                                      <pic:cNvPr id="35" name="img20.png"/>
                                      <pic:cNvPicPr/>
                                    </pic:nvPicPr>
                                    <pic:blipFill>
                                      <a:blip r:embed="rId23"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NA</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15.</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atleistų nuo kūno kultūros pamokų,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16</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0,67</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0,40</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36" name="img21.png"/>
                              <a:graphic>
                                <a:graphicData uri="http://schemas.openxmlformats.org/drawingml/2006/picture">
                                  <pic:pic>
                                    <pic:nvPicPr>
                                      <pic:cNvPr id="37" name="img21.png"/>
                                      <pic:cNvPicPr/>
                                    </pic:nvPicPr>
                                    <pic:blipFill>
                                      <a:blip r:embed="rId24"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NA</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16.</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kuriems pritaikytas maitinimas,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42</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1,77</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18,00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0,82</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38" name="img22.png"/>
                              <a:graphic>
                                <a:graphicData uri="http://schemas.openxmlformats.org/drawingml/2006/picture">
                                  <pic:pic>
                                    <pic:nvPicPr>
                                      <pic:cNvPr id="39" name="img22.png"/>
                                      <pic:cNvPicPr/>
                                    </pic:nvPicPr>
                                    <pic:blipFill>
                                      <a:blip r:embed="rId25"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NA</w:t>
                  </w:r>
                </w:p>
              </w:tc>
            </w:tr>
            <w:tr>
              <w:trPr>
                <w:trHeight w:val="412" w:hRule="atLeast"/>
              </w:trPr>
              <w:tc>
                <w:tcPr>
                  <w:tcW w:w="737" w:type="dxa"/>
                  <w:tcBorders>
                    <w:top w:val="single" w:color="000000" w:sz="1"/>
                    <w:left w:val="single" w:color="000000" w:sz="3"/>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17.</w:t>
                  </w:r>
                </w:p>
              </w:tc>
              <w:tc>
                <w:tcPr>
                  <w:tcW w:w="7341"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Mokinių, turinčių per aukštą bendrą (KPI+kpi) indeksą, dalis (%)</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573</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53,45</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176,00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15,93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490" w:hRule="atLeast"/>
                    </w:trPr>
                    <w:tc>
                      <w:tcPr>
                        <w:tcW w:w="1984" w:type="dxa"/>
                        <w:tcBorders>
                          <w:top w:val="nil" w:sz="0"/>
                          <w:left w:val="nil" w:sz="0"/>
                          <w:bottom w:val="nil" w:sz="0"/>
                          <w:right w:val="nil" w:sz="0"/>
                        </w:tcBorders>
                        <w:tcMar>
                          <w:top w:w="0" w:type="dxa"/>
                          <w:left w:w="0" w:type="dxa"/>
                          <w:bottom w:w="0" w:type="dxa"/>
                          <w:right w:w="0" w:type="dxa"/>
                        </w:tcMar>
                      </w:tcPr>
                      <w:p>
                        <w:pPr>
                          <w:spacing w:after="0" w:line="240" w:lineRule="auto"/>
                        </w:pPr>
                        <w:r w:rsidRPr="" w:rsidDel="" w:rsidR="">
                          <w:drawing>
                            <wp:inline>
                              <wp:extent cx="1260000" cy="311249"/>
                              <wp:docPr id="40" name="img23.png"/>
                              <a:graphic>
                                <a:graphicData uri="http://schemas.openxmlformats.org/drawingml/2006/picture">
                                  <pic:pic>
                                    <pic:nvPicPr>
                                      <pic:cNvPr id="41" name="img23.png"/>
                                      <pic:cNvPicPr/>
                                    </pic:nvPicPr>
                                    <pic:blipFill>
                                      <a:blip r:embed="rId26" cstate="print"/>
                                      <a:stretch>
                                        <a:fillRect r="0" b="0"/>
                                      </a:stretch>
                                    </pic:blipFill>
                                    <pic:spPr>
                                      <a:xfrm>
                                        <a:off x="0" y="0"/>
                                        <a:ext cx="1260000" cy="311249"/>
                                      </a:xfrm>
                                      <a:prstGeom prst="rect">
                                        <a:avLst/>
                                      </a:prstGeom>
                                    </pic:spPr>
                                  </pic:pic>
                                </a:graphicData>
                              </a:graphic>
                            </wp:inline>
                          </w:drawing>
                        </w:r>
                      </w:p>
                    </w:tc>
                  </w:tr>
                </w:tbl>
                <w:p>
                  <w:pPr>
                    <w:spacing w:after="0" w:line="240" w:lineRule="auto"/>
                  </w:pPr>
                </w:p>
              </w:tc>
              <w:tc>
                <w:tcPr>
                  <w:tcW w:w="1218" w:type="dxa"/>
                  <w:tcBorders>
                    <w:top w:val="single" w:color="000000" w:sz="1"/>
                    <w:left w:val="single" w:color="000000" w:sz="1"/>
                    <w:bottom w:val="single" w:color="000000" w:sz="1"/>
                    <w:right w:val="single" w:color="000000" w:sz="3"/>
                  </w:tcBorders>
                  <w:shd w:val="clear" w:fill="FFC0CB"/>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-25,39</w:t>
                  </w:r>
                </w:p>
              </w:tc>
            </w:tr>
          </w:tbl>
          <w:p>
            <w:pPr>
              <w:spacing w:after="0" w:line="240" w:lineRule="auto"/>
            </w:pPr>
          </w:p>
        </w:tc>
        <w:tc>
          <w:tcPr>
            <w:tcW w:w="15755" w:type="dxa"/>
            <w:hMerge w:val="continue"/>
          </w:tcPr>
          <w:p>
            <w:pPr>
              <w:pStyle w:val="EmptyCellLayoutStyle"/>
              <w:spacing w:after="0" w:line="240" w:lineRule="auto"/>
            </w:pPr>
          </w:p>
        </w:tc>
        <w:tc>
          <w:tcPr>
            <w:tcW w:w="61" w:type="dxa"/>
          </w:tcPr>
          <w:p>
            <w:pPr>
              <w:pStyle w:val="EmptyCellLayoutStyle"/>
              <w:spacing w:after="0" w:line="240" w:lineRule="auto"/>
            </w:pPr>
          </w:p>
        </w:tc>
      </w:tr>
      <w:tr>
        <w:trPr>
          <w:trHeight w:val="1541"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tcPr>
          <w:p>
            <w:pPr>
              <w:pStyle w:val="EmptyCellLayoutStyle"/>
              <w:spacing w:after="0" w:line="240" w:lineRule="auto"/>
            </w:pPr>
          </w:p>
        </w:tc>
        <w:tc>
          <w:tcPr>
            <w:tcW w:w="61" w:type="dxa"/>
          </w:tcPr>
          <w:p>
            <w:pPr>
              <w:pStyle w:val="EmptyCellLayoutStyle"/>
              <w:spacing w:after="0" w:line="240" w:lineRule="auto"/>
            </w:pPr>
          </w:p>
        </w:tc>
      </w:tr>
      <w:tr>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5760"/>
            </w:tblGrid>
            <w:tr>
              <w:trPr>
                <w:trHeight w:val="361" w:hRule="atLeast"/>
              </w:trPr>
              <w:tc>
                <w:tcPr>
                  <w:tcW w:w="15760" w:type="dxa"/>
                  <w:tcBorders>
                    <w:top w:val="nil" w:color="D3D3D3" w:sz="7"/>
                    <w:left w:val="nil" w:color="D3D3D3" w:sz="7"/>
                    <w:bottom w:val="nil" w:color="D3D3D3" w:sz="7"/>
                    <w:right w:val="nil" w:color="D3D3D3" w:sz="7"/>
                  </w:tcBorders>
                  <w:tcMar>
                    <w:top w:w="39" w:type="dxa"/>
                    <w:left w:w="39" w:type="dxa"/>
                    <w:bottom w:w="0" w:type="dxa"/>
                    <w:right w:w="39" w:type="dxa"/>
                  </w:tcMar>
                  <w:vAlign w:val="center"/>
                </w:tcPr>
                <w:p>
                  <w:pPr>
                    <w:spacing w:after="0" w:line="240" w:lineRule="auto"/>
                    <w:jc w:val="left"/>
                  </w:pPr>
                  <w:r>
                    <w:rPr>
                      <w:rFonts w:ascii="Times New Roman" w:hAnsi="Times New Roman" w:eastAsia="Times New Roman"/>
                      <w:color w:val="000000"/>
                      <w:sz w:val="20"/>
                    </w:rPr>
                    <w:t xml:space="preserve">*Mokinių pasiskirstymas pagal kūno masės indekso grupes:</w:t>
                  </w:r>
                </w:p>
              </w:tc>
            </w:tr>
            <w:tr>
              <w:trPr>
                <w:trHeight w:val="1133" w:hRule="atLeast"/>
              </w:trPr>
              <w:tc>
                <w:tcPr>
                  <w:tcW w:w="15760" w:type="dxa"/>
                  <w:tcBorders>
                    <w:top w:val="nil" w:color="FFFFFF" w:sz="7"/>
                    <w:left w:val="nil" w:color="FFFFFF" w:sz="7"/>
                    <w:bottom w:val="nil" w:color="FFFFFF" w:sz="7"/>
                    <w:right w:val="nil" w:color="FFFFFF" w:sz="7"/>
                  </w:tcBorders>
                  <w:shd w:val="clear" w:fill="FFFFFF"/>
                  <w:tcMar>
                    <w:top w:w="0" w:type="dxa"/>
                    <w:left w:w="0" w:type="dxa"/>
                    <w:bottom w:w="0" w:type="dxa"/>
                    <w:right w:w="0" w:type="dxa"/>
                  </w:tcMar>
                </w:tcPr>
                <w:p>
                  <w:pPr>
                    <w:spacing w:after="0" w:line="240" w:lineRule="auto"/>
                  </w:pPr>
                  <w:r w:rsidRPr="" w:rsidDel="" w:rsidR="">
                    <w:drawing>
                      <wp:inline>
                        <wp:extent cx="10008000" cy="720000"/>
                        <wp:docPr id="42" name="img24.png"/>
                        <a:graphic>
                          <a:graphicData uri="http://schemas.openxmlformats.org/drawingml/2006/picture">
                            <pic:pic>
                              <pic:nvPicPr>
                                <pic:cNvPr id="43" name="img24.png"/>
                                <pic:cNvPicPr/>
                              </pic:nvPicPr>
                              <pic:blipFill>
                                <a:blip r:embed="rId27" cstate="print"/>
                                <a:stretch>
                                  <a:fillRect r="0" b="0"/>
                                </a:stretch>
                              </pic:blipFill>
                              <pic:spPr>
                                <a:xfrm>
                                  <a:off x="0" y="0"/>
                                  <a:ext cx="10008000" cy="720000"/>
                                </a:xfrm>
                                <a:prstGeom prst="rect">
                                  <a:avLst/>
                                </a:prstGeom>
                              </pic:spPr>
                            </pic:pic>
                          </a:graphicData>
                        </a:graphic>
                      </wp:inline>
                    </w:drawing>
                  </w:r>
                </w:p>
              </w:tc>
            </w:tr>
            <w:tr>
              <w:trPr>
                <w:trHeight w:val="262" w:hRule="atLeast"/>
              </w:trPr>
              <w:tc>
                <w:tcPr>
                  <w:tcW w:w="15760" w:type="dxa"/>
                  <w:tcBorders>
                    <w:top w:val="nil" w:color="FFFFFF" w:sz="7"/>
                    <w:left w:val="nil" w:color="FFFFFF" w:sz="7"/>
                    <w:bottom w:val="nil" w:color="FFFFFF" w:sz="7"/>
                    <w:right w:val="nil" w:color="FFFFFF" w:sz="7"/>
                  </w:tcBorders>
                  <w:shd w:val="clear" w:fill="FFFFFF"/>
                  <w:tcMar>
                    <w:top w:w="39" w:type="dxa"/>
                    <w:left w:w="39" w:type="dxa"/>
                    <w:bottom w:w="39" w:type="dxa"/>
                    <w:right w:w="39" w:type="dxa"/>
                  </w:tcMar>
                </w:tcPr>
                <w:p>
                  <w:pPr>
                    <w:spacing w:after="0" w:line="240" w:lineRule="auto"/>
                  </w:pPr>
                </w:p>
              </w:tc>
            </w:tr>
            <w:tr>
              <w:trPr>
                <w:trHeight w:val="346" w:hRule="atLeast"/>
              </w:trPr>
              <w:tc>
                <w:tcPr>
                  <w:tcW w:w="15760" w:type="dxa"/>
                  <w:tcBorders>
                    <w:top w:val="nil" w:color="FFFFFF" w:sz="7"/>
                    <w:left w:val="nil" w:color="FFFFFF" w:sz="7"/>
                    <w:bottom w:val="nil" w:color="FFFFFF" w:sz="7"/>
                    <w:right w:val="nil" w:color="FFFFFF" w:sz="7"/>
                  </w:tcBorders>
                  <w:shd w:val="clear" w:fill="FFFFFF"/>
                  <w:tcMar>
                    <w:top w:w="39" w:type="dxa"/>
                    <w:left w:w="39" w:type="dxa"/>
                    <w:bottom w:w="0" w:type="dxa"/>
                    <w:right w:w="39" w:type="dxa"/>
                  </w:tcMar>
                  <w:vAlign w:val="center"/>
                </w:tcPr>
                <w:p>
                  <w:pPr>
                    <w:spacing w:after="0" w:line="240" w:lineRule="auto"/>
                    <w:jc w:val="left"/>
                  </w:pPr>
                  <w:r>
                    <w:rPr>
                      <w:rFonts w:ascii="Times New Roman" w:hAnsi="Times New Roman" w:eastAsia="Times New Roman"/>
                      <w:color w:val="000000"/>
                      <w:sz w:val="20"/>
                    </w:rPr>
                    <w:t xml:space="preserve">**Mokinių pasiskirstymas pagal dantų ėduonies intensyvumą (KPI indeksas, kur K - ėduonies pažeistų dantų skaičius, P - plombuotų dantų skaičius, I - išrautų nuolatinių dantų skaičius):</w:t>
                  </w:r>
                </w:p>
              </w:tc>
            </w:tr>
            <w:tr>
              <w:trPr>
                <w:trHeight w:val="1133" w:hRule="atLeast"/>
              </w:trPr>
              <w:tc>
                <w:tcPr>
                  <w:tcW w:w="15760" w:type="dxa"/>
                  <w:tcBorders>
                    <w:top w:val="nil" w:color="FFFFFF" w:sz="7"/>
                    <w:left w:val="nil" w:color="FFFFFF" w:sz="7"/>
                    <w:bottom w:val="nil" w:color="FFFFFF" w:sz="7"/>
                    <w:right w:val="nil" w:color="FFFFFF" w:sz="7"/>
                  </w:tcBorders>
                  <w:shd w:val="clear" w:fill="FFFFFF"/>
                  <w:tcMar>
                    <w:top w:w="0" w:type="dxa"/>
                    <w:left w:w="0" w:type="dxa"/>
                    <w:bottom w:w="0" w:type="dxa"/>
                    <w:right w:w="0" w:type="dxa"/>
                  </w:tcMar>
                </w:tcPr>
                <w:p>
                  <w:pPr>
                    <w:spacing w:after="0" w:line="240" w:lineRule="auto"/>
                  </w:pPr>
                  <w:r w:rsidRPr="" w:rsidDel="" w:rsidR="">
                    <w:drawing>
                      <wp:inline>
                        <wp:extent cx="10008000" cy="720000"/>
                        <wp:docPr id="44" name="img25.png"/>
                        <a:graphic>
                          <a:graphicData uri="http://schemas.openxmlformats.org/drawingml/2006/picture">
                            <pic:pic>
                              <pic:nvPicPr>
                                <pic:cNvPr id="45" name="img25.png"/>
                                <pic:cNvPicPr/>
                              </pic:nvPicPr>
                              <pic:blipFill>
                                <a:blip r:embed="rId28" cstate="print"/>
                                <a:stretch>
                                  <a:fillRect r="0" b="0"/>
                                </a:stretch>
                              </pic:blipFill>
                              <pic:spPr>
                                <a:xfrm>
                                  <a:off x="0" y="0"/>
                                  <a:ext cx="10008000" cy="720000"/>
                                </a:xfrm>
                                <a:prstGeom prst="rect">
                                  <a:avLst/>
                                </a:prstGeom>
                              </pic:spPr>
                            </pic:pic>
                          </a:graphicData>
                        </a:graphic>
                      </wp:inline>
                    </w:drawing>
                  </w:r>
                </w:p>
              </w:tc>
            </w:tr>
            <w:tr>
              <w:trPr>
                <w:trHeight w:val="137" w:hRule="atLeast"/>
              </w:trPr>
              <w:tc>
                <w:tcPr>
                  <w:tcW w:w="15760" w:type="dxa"/>
                  <w:tcBorders>
                    <w:top w:val="nil" w:color="FFFFFF" w:sz="7"/>
                    <w:left w:val="nil" w:color="FFFFFF" w:sz="7"/>
                    <w:bottom w:val="nil" w:color="FFFFFF" w:sz="7"/>
                    <w:right w:val="nil" w:color="FFFFFF" w:sz="7"/>
                  </w:tcBorders>
                  <w:shd w:val="clear" w:fill="FFFFFF"/>
                  <w:tcMar>
                    <w:top w:w="39" w:type="dxa"/>
                    <w:left w:w="39" w:type="dxa"/>
                    <w:bottom w:w="39" w:type="dxa"/>
                    <w:right w:w="39" w:type="dxa"/>
                  </w:tcMar>
                </w:tcPr>
                <w:p>
                  <w:pPr>
                    <w:spacing w:after="0" w:line="240" w:lineRule="auto"/>
                    <w:jc w:val="left"/>
                  </w:pPr>
                  <w:r>
                    <w:rPr>
                      <w:rFonts w:ascii="Times New Roman" w:hAnsi="Times New Roman" w:eastAsia="Times New Roman"/>
                      <w:b/>
                      <w:color w:val="000000"/>
                      <w:sz w:val="12"/>
                    </w:rPr>
                    <w:t xml:space="preserve">             </w:t>
                  </w:r>
                </w:p>
              </w:tc>
            </w:tr>
          </w:tbl>
          <w:p>
            <w:pPr>
              <w:spacing w:after="0" w:line="240" w:lineRule="auto"/>
            </w:pPr>
          </w:p>
        </w:tc>
        <w:tc>
          <w:tcPr>
            <w:tcW w:w="15755" w:type="dxa"/>
            <w:hMerge w:val="continue"/>
          </w:tcPr>
          <w:p>
            <w:pPr>
              <w:pStyle w:val="EmptyCellLayoutStyle"/>
              <w:spacing w:after="0" w:line="240" w:lineRule="auto"/>
            </w:pPr>
          </w:p>
        </w:tc>
        <w:tc>
          <w:tcPr>
            <w:tcW w:w="61" w:type="dxa"/>
          </w:tcPr>
          <w:p>
            <w:pPr>
              <w:pStyle w:val="EmptyCellLayoutStyle"/>
              <w:spacing w:after="0" w:line="240" w:lineRule="auto"/>
            </w:pPr>
          </w:p>
        </w:tc>
      </w:tr>
      <w:tr>
        <w:trPr>
          <w:trHeight w:val="739"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hMerge w:val="restart"/>
          </w:tcPr>
          <w:tbl>
            <w:tblPr>
              <w:tblCellMar>
                <w:top w:w="0" w:type="dxa"/>
                <w:left w:w="0" w:type="dxa"/>
                <w:bottom w:w="0" w:type="dxa"/>
                <w:right w:w="0" w:type="dxa"/>
              </w:tblCellMar>
            </w:tblPr>
            <w:tblGrid>
              <w:gridCol w:w="15760"/>
            </w:tblGrid>
            <w:tr>
              <w:trPr>
                <w:trHeight w:val="661" w:hRule="atLeast"/>
              </w:trPr>
              <w:tc>
                <w:tcPr>
                  <w:tcW w:w="157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Times New Roman" w:hAnsi="Times New Roman" w:eastAsia="Times New Roman"/>
                      <w:b/>
                      <w:i/>
                      <w:color w:val="000000"/>
                      <w:sz w:val="20"/>
                    </w:rPr>
                    <w:t xml:space="preserve">Pastaba</w:t>
                  </w:r>
                  <w:r>
                    <w:rPr>
                      <w:rFonts w:ascii="Times New Roman" w:hAnsi="Times New Roman" w:eastAsia="Times New Roman"/>
                      <w:i/>
                      <w:color w:val="000000"/>
                      <w:sz w:val="20"/>
                    </w:rPr>
                    <w:t xml:space="preserve">. 2-17 rodiklis paima tik tuos mokinius, kurie ugdymo įstaigai pristatė Formą Nr. E027-1. 1 rodiklis apima visus ugdymo įstaigas lankančius vaikus. KPI ir kpi indekso ribos: Labai žemas- 1,2. Žemas - 1,2-2,6. Vidutinis - 2,7-4,4. Aukštas - 4,5-6,5. Labai aukštas - 6,5. Apskaičiuoto rodiklio atvaizdavimo grafikas nerodomas, nes „MIN" - „MAX" reikšmių nėra arba minėtosios reikšmės yra vienodos.</w:t>
                  </w:r>
                </w:p>
              </w:tc>
            </w:tr>
          </w:tbl>
          <w:p>
            <w:pPr>
              <w:spacing w:after="0" w:line="240" w:lineRule="auto"/>
            </w:pPr>
          </w:p>
        </w:tc>
        <w:tc>
          <w:tcPr>
            <w:tcW w:w="15755" w:type="dxa"/>
            <w:hMerge w:val="continue"/>
          </w:tcPr>
          <w:p>
            <w:pPr>
              <w:pStyle w:val="EmptyCellLayoutStyle"/>
              <w:spacing w:after="0" w:line="240" w:lineRule="auto"/>
            </w:pPr>
          </w:p>
        </w:tc>
        <w:tc>
          <w:tcPr>
            <w:tcW w:w="61" w:type="dxa"/>
          </w:tcPr>
          <w:p>
            <w:pPr>
              <w:pStyle w:val="EmptyCellLayoutStyle"/>
              <w:spacing w:after="0" w:line="240" w:lineRule="auto"/>
            </w:pPr>
          </w:p>
        </w:tc>
      </w:tr>
      <w:tr>
        <w:trPr>
          <w:trHeight w:val="99"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tcPr>
          <w:p>
            <w:pPr>
              <w:pStyle w:val="EmptyCellLayoutStyle"/>
              <w:spacing w:after="0" w:line="240" w:lineRule="auto"/>
            </w:pPr>
          </w:p>
        </w:tc>
        <w:tc>
          <w:tcPr>
            <w:tcW w:w="61" w:type="dxa"/>
          </w:tcPr>
          <w:p>
            <w:pPr>
              <w:pStyle w:val="EmptyCellLayoutStyle"/>
              <w:spacing w:after="0" w:line="240" w:lineRule="auto"/>
            </w:pPr>
          </w:p>
        </w:tc>
      </w:tr>
      <w:tr>
        <w:trPr/>
        <w:tc>
          <w:tcPr>
            <w:tcW w:w="68" w:type="dxa"/>
          </w:tcPr>
          <w:p>
            <w:pPr>
              <w:pStyle w:val="EmptyCellLayoutStyle"/>
              <w:spacing w:after="0" w:line="240" w:lineRule="auto"/>
            </w:pPr>
          </w:p>
        </w:tc>
        <w:tc>
          <w:tcPr>
            <w:tcW w:w="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
              <w:gridCol w:w="15018"/>
              <w:gridCol w:w="741"/>
            </w:tblGrid>
            <w:tr>
              <w:trPr/>
              <w:tc>
                <w:tcPr>
                  <w:tcW w:w="4" w:type="dxa"/>
                  <w:hMerge w:val="restart"/>
                </w:tcPr>
                <w:tbl>
                  <w:tblPr>
                    <w:tblBorders>
                      <w:top w:val="nil" w:color="000000" w:sz="3"/>
                      <w:left w:val="nil" w:color="000000" w:sz="3"/>
                      <w:bottom w:val="nil" w:color="000000" w:sz="3"/>
                      <w:right w:val="nil" w:color="000000" w:sz="3"/>
                    </w:tblBorders>
                    <w:tblCellMar>
                      <w:top w:w="0" w:type="dxa"/>
                      <w:left w:w="0" w:type="dxa"/>
                      <w:bottom w:w="0" w:type="dxa"/>
                      <w:right w:w="0" w:type="dxa"/>
                    </w:tblCellMar>
                  </w:tblPr>
                  <w:tblGrid>
                    <w:gridCol w:w="538"/>
                    <w:gridCol w:w="6803"/>
                    <w:gridCol w:w="737"/>
                    <w:gridCol w:w="1247"/>
                    <w:gridCol w:w="737"/>
                    <w:gridCol w:w="737"/>
                    <w:gridCol w:w="1020"/>
                    <w:gridCol w:w="1984"/>
                    <w:gridCol w:w="1218"/>
                  </w:tblGrid>
                  <w:tr>
                    <w:trPr>
                      <w:trHeight w:val="130" w:hRule="atLeast"/>
                    </w:trPr>
                    <w:tc>
                      <w:tcPr>
                        <w:tcW w:w="538" w:type="dxa"/>
                      </w:tcPr>
                      <w:p>
                        <w:pPr>
                          <w:spacing w:after="0" w:line="240" w:lineRule="auto"/>
                        </w:pPr>
                      </w:p>
                    </w:tc>
                    <w:tc>
                      <w:tcPr>
                        <w:tcW w:w="6803" w:type="dxa"/>
                      </w:tcPr>
                      <w:p>
                        <w:pPr>
                          <w:spacing w:after="0" w:line="240" w:lineRule="auto"/>
                        </w:pPr>
                      </w:p>
                    </w:tc>
                    <w:tc>
                      <w:tcPr>
                        <w:tcW w:w="737" w:type="dxa"/>
                      </w:tcPr>
                      <w:p>
                        <w:pPr>
                          <w:spacing w:after="0" w:line="240" w:lineRule="auto"/>
                        </w:pPr>
                      </w:p>
                    </w:tc>
                    <w:tc>
                      <w:tcPr>
                        <w:tcW w:w="1247" w:type="dxa"/>
                      </w:tcPr>
                      <w:p>
                        <w:pPr>
                          <w:spacing w:after="0" w:line="240" w:lineRule="auto"/>
                        </w:pPr>
                      </w:p>
                    </w:tc>
                    <w:tc>
                      <w:tcPr>
                        <w:tcW w:w="737" w:type="dxa"/>
                      </w:tcPr>
                      <w:p>
                        <w:pPr>
                          <w:spacing w:after="0" w:line="240" w:lineRule="auto"/>
                        </w:pPr>
                      </w:p>
                    </w:tc>
                    <w:tc>
                      <w:tcPr>
                        <w:tcW w:w="737" w:type="dxa"/>
                      </w:tcPr>
                      <w:p>
                        <w:pPr>
                          <w:spacing w:after="0" w:line="240" w:lineRule="auto"/>
                        </w:pPr>
                      </w:p>
                    </w:tc>
                    <w:tc>
                      <w:tcPr>
                        <w:tcW w:w="1020" w:type="dxa"/>
                      </w:tcPr>
                      <w:p>
                        <w:pPr>
                          <w:spacing w:after="0" w:line="240" w:lineRule="auto"/>
                        </w:pPr>
                      </w:p>
                    </w:tc>
                    <w:tc>
                      <w:tcPr>
                        <w:tcW w:w="1984" w:type="dxa"/>
                      </w:tcPr>
                      <w:p>
                        <w:pPr>
                          <w:spacing w:after="0" w:line="240" w:lineRule="auto"/>
                        </w:pPr>
                      </w:p>
                    </w:tc>
                    <w:tc>
                      <w:tcPr>
                        <w:tcW w:w="1218" w:type="dxa"/>
                      </w:tcPr>
                      <w:p>
                        <w:pPr>
                          <w:spacing w:after="0" w:line="240" w:lineRule="auto"/>
                        </w:pPr>
                      </w:p>
                    </w:tc>
                  </w:tr>
                  <w:tr>
                    <w:trPr>
                      <w:trHeight w:val="937" w:hRule="atLeast"/>
                    </w:trPr>
                    <w:tc>
                      <w:tcPr>
                        <w:tcW w:w="538"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Eil. Nr.</w:t>
                        </w:r>
                      </w:p>
                    </w:tc>
                    <w:tc>
                      <w:tcPr>
                        <w:tcW w:w="6803"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Rodiklis</w:t>
                        </w:r>
                      </w:p>
                    </w:tc>
                    <w:tc>
                      <w:tcPr>
                        <w:tcW w:w="737"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N</w:t>
                        </w:r>
                      </w:p>
                    </w:tc>
                    <w:tc>
                      <w:tcPr>
                        <w:tcW w:w="1247"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Rodiklio reikšmė savivaldybėje</w:t>
                        </w:r>
                      </w:p>
                    </w:tc>
                    <w:tc>
                      <w:tcPr>
                        <w:tcW w:w="737"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Min</w:t>
                        </w:r>
                      </w:p>
                    </w:tc>
                    <w:tc>
                      <w:tcPr>
                        <w:tcW w:w="737"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Max</w:t>
                        </w:r>
                      </w:p>
                    </w:tc>
                    <w:tc>
                      <w:tcPr>
                        <w:tcW w:w="1020"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Rodiklio  reikšmė Lietuvoje</w:t>
                        </w:r>
                      </w:p>
                    </w:tc>
                    <w:tc>
                      <w:tcPr>
                        <w:tcW w:w="1984"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Vaizdavimas</w:t>
                        </w:r>
                      </w:p>
                    </w:tc>
                    <w:tc>
                      <w:tcPr>
                        <w:tcW w:w="1218" w:type="dxa"/>
                        <w:tcBorders>
                          <w:top w:val="single" w:color="000000" w:sz="3"/>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Pokytis nuo praeitų metų</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18.</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kraujo ir kraujodaros organų ligomis bei tam tikrais sutrikimais, susijusiais su imuniniais mechanizmais (D50-D89)(1000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11</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3,25</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1,34</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12,93</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10,09</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46" name="img26.png"/>
                                    <a:graphic>
                                      <a:graphicData uri="http://schemas.openxmlformats.org/drawingml/2006/picture">
                                        <pic:pic>
                                          <pic:nvPicPr>
                                            <pic:cNvPr id="47" name="img26.png"/>
                                            <pic:cNvPicPr/>
                                          </pic:nvPicPr>
                                          <pic:blipFill>
                                            <a:blip r:embed="rId29"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-66,67%</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19.</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endokrininėmis ir medžiagų apykaitos ligomis (E00-E90)(1000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204</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60,23</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9,95</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146,60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60,97</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48" name="img27.png"/>
                                    <a:graphic>
                                      <a:graphicData uri="http://schemas.openxmlformats.org/drawingml/2006/picture">
                                        <pic:pic>
                                          <pic:nvPicPr>
                                            <pic:cNvPr id="49" name="img27.png"/>
                                            <pic:cNvPicPr/>
                                          </pic:nvPicPr>
                                          <pic:blipFill>
                                            <a:blip r:embed="rId30"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-13,19%</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20.</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psichikos ir elgesio sutrikimais (F00-F99)(1000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86</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25,39</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10,00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39,27</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51,31</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50" name="img28.png"/>
                                    <a:graphic>
                                      <a:graphicData uri="http://schemas.openxmlformats.org/drawingml/2006/picture">
                                        <pic:pic>
                                          <pic:nvPicPr>
                                            <pic:cNvPr id="51" name="img28.png"/>
                                            <pic:cNvPicPr/>
                                          </pic:nvPicPr>
                                          <pic:blipFill>
                                            <a:blip r:embed="rId31"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-31,20%</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21.</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nervų sistemos ligomis (G00-G99)(1000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34</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10,04</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21,55</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16,63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52" name="img29.png"/>
                                    <a:graphic>
                                      <a:graphicData uri="http://schemas.openxmlformats.org/drawingml/2006/picture">
                                        <pic:pic>
                                          <pic:nvPicPr>
                                            <pic:cNvPr id="53" name="img29.png"/>
                                            <pic:cNvPicPr/>
                                          </pic:nvPicPr>
                                          <pic:blipFill>
                                            <a:blip r:embed="rId32"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-42,37%</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22.</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akies ir jos priedinių organų ligomis (H00-H59)(1000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332</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98,02</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22,50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188,48</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186,98</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54" name="img30.png"/>
                                    <a:graphic>
                                      <a:graphicData uri="http://schemas.openxmlformats.org/drawingml/2006/picture">
                                        <pic:pic>
                                          <pic:nvPicPr>
                                            <pic:cNvPr id="55" name="img30.png"/>
                                            <pic:cNvPicPr/>
                                          </pic:nvPicPr>
                                          <pic:blipFill>
                                            <a:blip r:embed="rId33"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-32,52%</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23.</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ausies ir speninės ataugos ligomis (H60-H95)(1000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98</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28,93</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99,50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39,78</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56" name="img31.png"/>
                                    <a:graphic>
                                      <a:graphicData uri="http://schemas.openxmlformats.org/drawingml/2006/picture">
                                        <pic:pic>
                                          <pic:nvPicPr>
                                            <pic:cNvPr id="57" name="img31.png"/>
                                            <pic:cNvPicPr/>
                                          </pic:nvPicPr>
                                          <pic:blipFill>
                                            <a:blip r:embed="rId34"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-53,77%</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24.</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kraujotakos sistemos ligomis (I00-I99)(1000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24</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7,09</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25,97</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19,57</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58" name="img32.png"/>
                                    <a:graphic>
                                      <a:graphicData uri="http://schemas.openxmlformats.org/drawingml/2006/picture">
                                        <pic:pic>
                                          <pic:nvPicPr>
                                            <pic:cNvPr id="59" name="img32.png"/>
                                            <pic:cNvPicPr/>
                                          </pic:nvPicPr>
                                          <pic:blipFill>
                                            <a:blip r:embed="rId35"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-42,86%</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25.</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kvėpavimo sistemos ligomis (J00-J99)(1000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868</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256,27</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30,00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676,72</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328,33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60" name="img33.png"/>
                                    <a:graphic>
                                      <a:graphicData uri="http://schemas.openxmlformats.org/drawingml/2006/picture">
                                        <pic:pic>
                                          <pic:nvPicPr>
                                            <pic:cNvPr id="61" name="img33.png"/>
                                            <pic:cNvPicPr/>
                                          </pic:nvPicPr>
                                          <pic:blipFill>
                                            <a:blip r:embed="rId36"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-49,36%</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26.</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virškinimo sistemos ligomis (K00-K93)(1000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550</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162,39</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37,50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224,81</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170,93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62" name="img34.png"/>
                                    <a:graphic>
                                      <a:graphicData uri="http://schemas.openxmlformats.org/drawingml/2006/picture">
                                        <pic:pic>
                                          <pic:nvPicPr>
                                            <pic:cNvPr id="63" name="img34.png"/>
                                            <pic:cNvPicPr/>
                                          </pic:nvPicPr>
                                          <pic:blipFill>
                                            <a:blip r:embed="rId37"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-34,45%</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27.</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odos ir poodžio ligomis (L00-L99)(1000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199</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58,75</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137,93</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74,53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64" name="img35.png"/>
                                    <a:graphic>
                                      <a:graphicData uri="http://schemas.openxmlformats.org/drawingml/2006/picture">
                                        <pic:pic>
                                          <pic:nvPicPr>
                                            <pic:cNvPr id="65" name="img35.png"/>
                                            <pic:cNvPicPr/>
                                          </pic:nvPicPr>
                                          <pic:blipFill>
                                            <a:blip r:embed="rId38"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-44,88%</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28.</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jungiamojo audinio ir raumenų sistemos ligomis (M00-M99)(1000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122</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36,02</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77,23</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61,17</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66" name="img36.png"/>
                                    <a:graphic>
                                      <a:graphicData uri="http://schemas.openxmlformats.org/drawingml/2006/picture">
                                        <pic:pic>
                                          <pic:nvPicPr>
                                            <pic:cNvPr id="67" name="img36.png"/>
                                            <pic:cNvPicPr/>
                                          </pic:nvPicPr>
                                          <pic:blipFill>
                                            <a:blip r:embed="rId39"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-31,46%</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29.</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Ligotumas lytinėmis ir šlapimo sistemų ligomis (N00-N99)(1000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58</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17,12</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7,50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39,80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29,33</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68" name="img37.png"/>
                                    <a:graphic>
                                      <a:graphicData uri="http://schemas.openxmlformats.org/drawingml/2006/picture">
                                        <pic:pic>
                                          <pic:nvPicPr>
                                            <pic:cNvPr id="69" name="img37.png"/>
                                            <pic:cNvPicPr/>
                                          </pic:nvPicPr>
                                          <pic:blipFill>
                                            <a:blip r:embed="rId40"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-34,09%</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30.</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Susižalojimų, apsinuodijimų ir tam tikrų išorinių poveikių padarinių skaičius (S00-T98)(1000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284</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83,85</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25,00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113,70</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110,07</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70" name="img38.png"/>
                                    <a:graphic>
                                      <a:graphicData uri="http://schemas.openxmlformats.org/drawingml/2006/picture">
                                        <pic:pic>
                                          <pic:nvPicPr>
                                            <pic:cNvPr id="71" name="img38.png"/>
                                            <pic:cNvPicPr/>
                                          </pic:nvPicPr>
                                          <pic:blipFill>
                                            <a:blip r:embed="rId41"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-37,99%</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31.</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Mirtingumas dėl išorinių priežasčių (V00-Y89)(100 000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29,52</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7,49</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72" name="img39.png"/>
                                    <a:graphic>
                                      <a:graphicData uri="http://schemas.openxmlformats.org/drawingml/2006/picture">
                                        <pic:pic>
                                          <pic:nvPicPr>
                                            <pic:cNvPr id="73" name="img39.png"/>
                                            <pic:cNvPicPr/>
                                          </pic:nvPicPr>
                                          <pic:blipFill>
                                            <a:blip r:embed="rId42"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NA</w:t>
                        </w:r>
                      </w:p>
                    </w:tc>
                  </w:tr>
                  <w:tr>
                    <w:trPr>
                      <w:trHeight w:val="318" w:hRule="atLeast"/>
                    </w:trPr>
                    <w:tc>
                      <w:tcPr>
                        <w:tcW w:w="538"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center"/>
                        </w:pPr>
                        <w:r>
                          <w:rPr>
                            <w:rFonts w:ascii="Times New Roman" w:hAnsi="Times New Roman" w:eastAsia="Times New Roman"/>
                            <w:b/>
                            <w:color w:val="000000"/>
                            <w:sz w:val="20"/>
                          </w:rPr>
                          <w:t xml:space="preserve">32.</w:t>
                        </w:r>
                      </w:p>
                    </w:tc>
                    <w:tc>
                      <w:tcPr>
                        <w:tcW w:w="6803" w:type="dxa"/>
                        <w:tcBorders>
                          <w:top w:val="single" w:color="000000" w:sz="1"/>
                          <w:left w:val="single" w:color="000000" w:sz="1"/>
                          <w:bottom w:val="single" w:color="000000" w:sz="1"/>
                          <w:right w:val="single" w:color="000000" w:sz="1"/>
                        </w:tcBorders>
                        <w:shd w:val="clear" w:fill="F5F5F5"/>
                        <w:tcMar>
                          <w:top w:w="39" w:type="dxa"/>
                          <w:left w:w="39" w:type="dxa"/>
                          <w:bottom w:w="39" w:type="dxa"/>
                          <w:right w:w="39" w:type="dxa"/>
                        </w:tcMar>
                        <w:vAlign w:val="center"/>
                      </w:tcPr>
                      <w:p>
                        <w:pPr>
                          <w:spacing w:after="0" w:line="240" w:lineRule="auto"/>
                          <w:jc w:val="left"/>
                        </w:pPr>
                        <w:r>
                          <w:rPr>
                            <w:rFonts w:ascii="Times New Roman" w:hAnsi="Times New Roman" w:eastAsia="Times New Roman"/>
                            <w:b/>
                            <w:color w:val="000000"/>
                            <w:sz w:val="20"/>
                          </w:rPr>
                          <w:t xml:space="preserve">Asmens apsilankymas sveikatos priežiūros įstaigose pasitikrinimui ir/ar ištyrimui (Z00) (1000 mokinių)</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142</w:t>
                        </w:r>
                      </w:p>
                    </w:tc>
                    <w:tc>
                      <w:tcPr>
                        <w:tcW w:w="124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41,93</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5,00</w:t>
                        </w:r>
                      </w:p>
                    </w:tc>
                    <w:tc>
                      <w:tcPr>
                        <w:tcW w:w="737"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241,38</w:t>
                        </w:r>
                      </w:p>
                    </w:tc>
                    <w:tc>
                      <w:tcPr>
                        <w:tcW w:w="1020" w:type="dxa"/>
                        <w:tcBorders>
                          <w:top w:val="single" w:color="000000" w:sz="1"/>
                          <w:left w:val="single" w:color="000000" w:sz="1"/>
                          <w:bottom w:val="single" w:color="000000" w:sz="1"/>
                          <w:right w:val="single" w:color="000000" w:sz="1"/>
                        </w:tcBorders>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121,82</w:t>
                        </w:r>
                      </w:p>
                    </w:tc>
                    <w:tc>
                      <w:tcPr>
                        <w:tcW w:w="1984" w:type="dxa"/>
                        <w:tcBorders>
                          <w:top w:val="single" w:color="000000" w:sz="1"/>
                          <w:left w:val="single" w:color="000000" w:sz="1"/>
                          <w:bottom w:val="single" w:color="000000" w:sz="1"/>
                          <w:right w:val="single" w:color="000000" w:sz="1"/>
                        </w:tcBorders>
                        <w:tcMar>
                          <w:top w:w="0" w:type="dxa"/>
                          <w:left w:w="0" w:type="dxa"/>
                          <w:bottom w:w="0" w:type="dxa"/>
                          <w:right w:w="0" w:type="dxa"/>
                        </w:tcMar>
                      </w:tcPr>
                      <w:tbl>
                        <w:tblPr>
                          <w:tblCellMar>
                            <w:top w:w="0" w:type="dxa"/>
                            <w:left w:w="0" w:type="dxa"/>
                            <w:bottom w:w="0" w:type="dxa"/>
                            <w:right w:w="0" w:type="dxa"/>
                          </w:tblCellMar>
                        </w:tblPr>
                        <w:tblGrid>
                          <w:gridCol w:w="1984"/>
                        </w:tblGrid>
                        <w:tr>
                          <w:trPr>
                            <w:trHeight w:val="340" w:hRule="atLeast"/>
                          </w:trPr>
                          <w:tc>
                            <w:tcPr>
                              <w:tcW w:w="1984" w:type="dxa"/>
                              <w:tcBorders>
                                <w:top w:val="nil" w:sz="0"/>
                                <w:left w:val="nil" w:sz="0"/>
                                <w:bottom w:val="nil" w:color="000000" w:sz="1"/>
                                <w:right w:val="nil" w:sz="0"/>
                              </w:tcBorders>
                              <w:tcMar>
                                <w:top w:w="0" w:type="dxa"/>
                                <w:left w:w="0" w:type="dxa"/>
                                <w:bottom w:w="0" w:type="dxa"/>
                                <w:right w:w="0" w:type="dxa"/>
                              </w:tcMar>
                            </w:tcPr>
                            <w:p>
                              <w:pPr>
                                <w:spacing w:after="0" w:line="240" w:lineRule="auto"/>
                              </w:pPr>
                              <w:r w:rsidRPr="" w:rsidDel="" w:rsidR="">
                                <w:drawing>
                                  <wp:inline>
                                    <wp:extent cx="1260000" cy="216000"/>
                                    <wp:docPr id="74" name="img40.png"/>
                                    <a:graphic>
                                      <a:graphicData uri="http://schemas.openxmlformats.org/drawingml/2006/picture">
                                        <pic:pic>
                                          <pic:nvPicPr>
                                            <pic:cNvPr id="75" name="img40.png"/>
                                            <pic:cNvPicPr/>
                                          </pic:nvPicPr>
                                          <pic:blipFill>
                                            <a:blip r:embed="rId43" cstate="print"/>
                                            <a:stretch>
                                              <a:fillRect r="0" b="0"/>
                                            </a:stretch>
                                          </pic:blipFill>
                                          <pic:spPr>
                                            <a:xfrm>
                                              <a:off x="0" y="0"/>
                                              <a:ext cx="1260000" cy="216000"/>
                                            </a:xfrm>
                                            <a:prstGeom prst="rect">
                                              <a:avLst/>
                                            </a:prstGeom>
                                          </pic:spPr>
                                        </pic:pic>
                                      </a:graphicData>
                                    </a:graphic>
                                  </wp:inline>
                                </w:drawing>
                              </w:r>
                            </w:p>
                          </w:tc>
                        </w:tr>
                        <w:tr>
                          <w:trPr>
                            <w:trHeight w:val="56" w:hRule="atLeast"/>
                          </w:trPr>
                          <w:tc>
                            <w:tcPr>
                              <w:tcW w:w="1984" w:type="dxa"/>
                              <w:tcBorders>
                                <w:left w:val="nil" w:sz="0"/>
                                <w:bottom w:val="nil" w:sz="0"/>
                                <w:right w:val="nil" w:sz="0"/>
                              </w:tcBorders>
                            </w:tcPr>
                            <w:p>
                              <w:pPr>
                                <w:pStyle w:val="EmptyCellLayoutStyle"/>
                                <w:spacing w:after="0" w:line="240" w:lineRule="auto"/>
                              </w:pPr>
                            </w:p>
                          </w:tc>
                        </w:tr>
                      </w:tbl>
                      <w:p>
                        <w:pPr>
                          <w:spacing w:after="0" w:line="240" w:lineRule="auto"/>
                        </w:pPr>
                      </w:p>
                    </w:tc>
                    <w:tc>
                      <w:tcPr>
                        <w:tcW w:w="1218" w:type="dxa"/>
                        <w:tcBorders>
                          <w:top w:val="single" w:color="000000" w:sz="1"/>
                          <w:left w:val="single" w:color="000000" w:sz="1"/>
                          <w:bottom w:val="single" w:color="000000" w:sz="1"/>
                          <w:right w:val="single" w:color="000000" w:sz="1"/>
                        </w:tcBorders>
                        <w:shd w:val="clear" w:fill="FFFFFF"/>
                        <w:tcMar>
                          <w:top w:w="39" w:type="dxa"/>
                          <w:left w:w="39" w:type="dxa"/>
                          <w:bottom w:w="39" w:type="dxa"/>
                          <w:right w:w="39" w:type="dxa"/>
                        </w:tcMar>
                        <w:vAlign w:val="center"/>
                      </w:tcPr>
                      <w:p>
                        <w:pPr>
                          <w:spacing w:after="0" w:line="240" w:lineRule="auto"/>
                          <w:jc w:val="right"/>
                        </w:pPr>
                        <w:r>
                          <w:rPr>
                            <w:rFonts w:ascii="Times New Roman" w:hAnsi="Times New Roman" w:eastAsia="Times New Roman"/>
                            <w:color w:val="000000"/>
                            <w:sz w:val="20"/>
                          </w:rPr>
                          <w:t xml:space="preserve">-42,51%</w:t>
                        </w:r>
                      </w:p>
                    </w:tc>
                  </w:tr>
                  <w:tr>
                    <w:trPr>
                      <w:trHeight w:val="55" w:hRule="atLeast"/>
                    </w:trPr>
                    <w:tc>
                      <w:tcPr>
                        <w:tcW w:w="538" w:type="dxa"/>
                      </w:tcPr>
                      <w:p>
                        <w:pPr>
                          <w:spacing w:after="0" w:line="240" w:lineRule="auto"/>
                        </w:pPr>
                      </w:p>
                    </w:tc>
                    <w:tc>
                      <w:tcPr>
                        <w:tcW w:w="6803" w:type="dxa"/>
                      </w:tcPr>
                      <w:p>
                        <w:pPr>
                          <w:spacing w:after="0" w:line="240" w:lineRule="auto"/>
                        </w:pPr>
                      </w:p>
                    </w:tc>
                    <w:tc>
                      <w:tcPr>
                        <w:tcW w:w="737" w:type="dxa"/>
                      </w:tcPr>
                      <w:p>
                        <w:pPr>
                          <w:spacing w:after="0" w:line="240" w:lineRule="auto"/>
                        </w:pPr>
                      </w:p>
                    </w:tc>
                    <w:tc>
                      <w:tcPr>
                        <w:tcW w:w="1247" w:type="dxa"/>
                      </w:tcPr>
                      <w:p>
                        <w:pPr>
                          <w:spacing w:after="0" w:line="240" w:lineRule="auto"/>
                        </w:pPr>
                      </w:p>
                    </w:tc>
                    <w:tc>
                      <w:tcPr>
                        <w:tcW w:w="737" w:type="dxa"/>
                      </w:tcPr>
                      <w:p>
                        <w:pPr>
                          <w:spacing w:after="0" w:line="240" w:lineRule="auto"/>
                        </w:pPr>
                      </w:p>
                    </w:tc>
                    <w:tc>
                      <w:tcPr>
                        <w:tcW w:w="737" w:type="dxa"/>
                      </w:tcPr>
                      <w:p>
                        <w:pPr>
                          <w:spacing w:after="0" w:line="240" w:lineRule="auto"/>
                        </w:pPr>
                      </w:p>
                    </w:tc>
                    <w:tc>
                      <w:tcPr>
                        <w:tcW w:w="1020" w:type="dxa"/>
                      </w:tcPr>
                      <w:p>
                        <w:pPr>
                          <w:spacing w:after="0" w:line="240" w:lineRule="auto"/>
                        </w:pPr>
                      </w:p>
                    </w:tc>
                    <w:tc>
                      <w:tcPr>
                        <w:tcW w:w="1984" w:type="dxa"/>
                      </w:tcPr>
                      <w:p>
                        <w:pPr>
                          <w:spacing w:after="0" w:line="240" w:lineRule="auto"/>
                        </w:pPr>
                      </w:p>
                    </w:tc>
                    <w:tc>
                      <w:tcPr>
                        <w:tcW w:w="1218" w:type="dxa"/>
                      </w:tcPr>
                      <w:p>
                        <w:pPr>
                          <w:spacing w:after="0" w:line="240" w:lineRule="auto"/>
                        </w:pPr>
                      </w:p>
                    </w:tc>
                  </w:tr>
                </w:tbl>
                <w:p>
                  <w:pPr>
                    <w:spacing w:after="0" w:line="240" w:lineRule="auto"/>
                  </w:pPr>
                </w:p>
              </w:tc>
              <w:tc>
                <w:tcPr>
                  <w:tcW w:w="15018" w:type="dxa"/>
                  <w:hMerge w:val="continue"/>
                </w:tcPr>
                <w:p>
                  <w:pPr>
                    <w:pStyle w:val="EmptyCellLayoutStyle"/>
                    <w:spacing w:after="0" w:line="240" w:lineRule="auto"/>
                  </w:pPr>
                </w:p>
              </w:tc>
              <w:tc>
                <w:tcPr>
                  <w:tcW w:w="741" w:type="dxa"/>
                </w:tcPr>
                <w:p>
                  <w:pPr>
                    <w:pStyle w:val="EmptyCellLayoutStyle"/>
                    <w:spacing w:after="0" w:line="240" w:lineRule="auto"/>
                  </w:pPr>
                </w:p>
              </w:tc>
            </w:tr>
            <w:tr>
              <w:trPr>
                <w:trHeight w:val="63" w:hRule="atLeast"/>
              </w:trPr>
              <w:tc>
                <w:tcPr>
                  <w:tcW w:w="4" w:type="dxa"/>
                </w:tcPr>
                <w:p>
                  <w:pPr>
                    <w:pStyle w:val="EmptyCellLayoutStyle"/>
                    <w:spacing w:after="0" w:line="240" w:lineRule="auto"/>
                  </w:pPr>
                </w:p>
              </w:tc>
              <w:tc>
                <w:tcPr>
                  <w:tcW w:w="15018" w:type="dxa"/>
                </w:tcPr>
                <w:p>
                  <w:pPr>
                    <w:pStyle w:val="EmptyCellLayoutStyle"/>
                    <w:spacing w:after="0" w:line="240" w:lineRule="auto"/>
                  </w:pPr>
                </w:p>
              </w:tc>
              <w:tc>
                <w:tcPr>
                  <w:tcW w:w="741" w:type="dxa"/>
                </w:tcPr>
                <w:p>
                  <w:pPr>
                    <w:pStyle w:val="EmptyCellLayoutStyle"/>
                    <w:spacing w:after="0" w:line="240" w:lineRule="auto"/>
                  </w:pPr>
                </w:p>
              </w:tc>
            </w:tr>
            <w:tr>
              <w:trPr>
                <w:trHeight w:val="1131" w:hRule="atLeast"/>
              </w:trPr>
              <w:tc>
                <w:tcPr>
                  <w:tcW w:w="4" w:type="dxa"/>
                </w:tcPr>
                <w:p>
                  <w:pPr>
                    <w:pStyle w:val="EmptyCellLayoutStyle"/>
                    <w:spacing w:after="0" w:line="240" w:lineRule="auto"/>
                  </w:pPr>
                </w:p>
              </w:tc>
              <w:tc>
                <w:tcPr>
                  <w:tcW w:w="15018" w:type="dxa"/>
                  <w:hMerge w:val="restart"/>
                </w:tcPr>
                <w:tbl>
                  <w:tblPr>
                    <w:tblCellMar>
                      <w:top w:w="0" w:type="dxa"/>
                      <w:left w:w="0" w:type="dxa"/>
                      <w:bottom w:w="0" w:type="dxa"/>
                      <w:right w:w="0" w:type="dxa"/>
                    </w:tblCellMar>
                  </w:tblPr>
                  <w:tblGrid>
                    <w:gridCol w:w="15760"/>
                  </w:tblGrid>
                  <w:tr>
                    <w:trPr/>
                    <w:tc>
                      <w:tcPr>
                        <w:tcW w:w="15760" w:type="dxa"/>
                        <w:tcBorders>
                          <w:top w:val="nil" w:color="000000" w:sz="1"/>
                          <w:left w:val="nil" w:color="000000" w:sz="1"/>
                          <w:bottom w:val="nil" w:color="000000" w:sz="1"/>
                          <w:right w:val="nil" w:color="000000" w:sz="1"/>
                        </w:tcBorders>
                        <w:tcMar>
                          <w:top w:w="39" w:type="dxa"/>
                          <w:left w:w="39" w:type="dxa"/>
                          <w:bottom w:w="39" w:type="dxa"/>
                          <w:right w:w="39" w:type="dxa"/>
                        </w:tcMar>
                      </w:tcPr>
                      <w:p>
                        <w:pPr>
                          <w:spacing w:after="0" w:line="240" w:lineRule="auto"/>
                          <w:jc w:val="left"/>
                        </w:pPr>
                        <w:r>
                          <w:rPr>
                            <w:rFonts w:ascii="Times New Roman" w:hAnsi="Times New Roman" w:eastAsia="Times New Roman"/>
                            <w:color w:val="000000"/>
                            <w:sz w:val="16"/>
                          </w:rPr>
                          <w:t xml:space="preserve">N - absoliutus asmenų skaičius; Rodiklio reikšmė savivaldybėje - skaitinė rodiklio reikšmė pasirinktoje savivaldybėje; Min - minimali rodiklio skaitinė reikšmė savivaldybės mokyklose; Max - maksimali rodiklio skaitinė reikšmė savivaldybės mokyklose; Rodiklio reikšmė Lietuvoje – skaitinė rodiklio reikšmė Lietuvoje; Vaizdavimas - pateikiama linija nurodo rodiklio reikšmių pasiskirstymą savivaldybėje pagal kvartilius (žalia spalva paryškinta sritis, kuri apima 50% reikšmių). Atskirai vertikalia linija rodiklio reikšmė Lietuvoje, o apskritimu – rodiklio reikšmė savivaldybėje; Pokytis - pateikiama skaitinė savivaldybės rodiklio pokyčio reikšmė, kuri vaizduojama su „+“ ženklu, jei reikšmė padidėjo, palyginus su praėjusiais metais ir „-“, jei sumažėjo. Rodiklio pokytis bus pateikiamas rausva spalva, jei tai reiškia statistiškai reikšmingą rodiklio pokytį, palyginti su praėjusių metų reikšme ir balta, jei pokytis nebuvo statistiškai reikšmingas, palyginus su praeitų metų rodiklio reikšme. </w:t>
                        </w:r>
                        <w:r>
                          <w:rPr>
                            <w:rFonts w:ascii="Times New Roman" w:hAnsi="Times New Roman" w:eastAsia="Times New Roman"/>
                            <w:color w:val="000000"/>
                            <w:sz w:val="16"/>
                          </w:rPr>
                          <w:t xml:space="preserve">NA – per maža imtis patikimam pokyčiui skaičiuoti.</w:t>
                        </w:r>
                      </w:p>
                    </w:tc>
                  </w:tr>
                </w:tbl>
                <w:p>
                  <w:pPr>
                    <w:spacing w:after="0" w:line="240" w:lineRule="auto"/>
                  </w:pPr>
                </w:p>
              </w:tc>
              <w:tc>
                <w:tcPr>
                  <w:tcW w:w="741" w:type="dxa"/>
                  <w:hMerge w:val="continue"/>
                </w:tcPr>
                <w:p>
                  <w:pPr>
                    <w:pStyle w:val="EmptyCellLayoutStyle"/>
                    <w:spacing w:after="0" w:line="240" w:lineRule="auto"/>
                  </w:pPr>
                </w:p>
              </w:tc>
            </w:tr>
          </w:tbl>
          <w:p>
            <w:pPr>
              <w:spacing w:after="0" w:line="240" w:lineRule="auto"/>
            </w:pPr>
          </w:p>
        </w:tc>
        <w:tc>
          <w:tcPr>
            <w:tcW w:w="4" w:type="dxa"/>
            <w:hMerge w:val="continue"/>
          </w:tcPr>
          <w:p>
            <w:pPr>
              <w:pStyle w:val="EmptyCellLayoutStyle"/>
              <w:spacing w:after="0" w:line="240" w:lineRule="auto"/>
            </w:pPr>
          </w:p>
        </w:tc>
        <w:tc>
          <w:tcPr>
            <w:tcW w:w="15755" w:type="dxa"/>
            <w:hMerge w:val="continue"/>
          </w:tcPr>
          <w:p>
            <w:pPr>
              <w:pStyle w:val="EmptyCellLayoutStyle"/>
              <w:spacing w:after="0" w:line="240" w:lineRule="auto"/>
            </w:pPr>
          </w:p>
        </w:tc>
        <w:tc>
          <w:tcPr>
            <w:tcW w:w="61" w:type="dxa"/>
          </w:tcPr>
          <w:p>
            <w:pPr>
              <w:pStyle w:val="EmptyCellLayoutStyle"/>
              <w:spacing w:after="0" w:line="240" w:lineRule="auto"/>
            </w:pPr>
          </w:p>
        </w:tc>
      </w:tr>
      <w:tr>
        <w:trPr>
          <w:trHeight w:val="100" w:hRule="atLeast"/>
        </w:trPr>
        <w:tc>
          <w:tcPr>
            <w:tcW w:w="68" w:type="dxa"/>
          </w:tcPr>
          <w:p>
            <w:pPr>
              <w:pStyle w:val="EmptyCellLayoutStyle"/>
              <w:spacing w:after="0" w:line="240" w:lineRule="auto"/>
            </w:pPr>
          </w:p>
        </w:tc>
        <w:tc>
          <w:tcPr>
            <w:tcW w:w="4" w:type="dxa"/>
          </w:tcPr>
          <w:p>
            <w:pPr>
              <w:pStyle w:val="EmptyCellLayoutStyle"/>
              <w:spacing w:after="0" w:line="240" w:lineRule="auto"/>
            </w:pPr>
          </w:p>
        </w:tc>
        <w:tc>
          <w:tcPr>
            <w:tcW w:w="4" w:type="dxa"/>
          </w:tcPr>
          <w:p>
            <w:pPr>
              <w:pStyle w:val="EmptyCellLayoutStyle"/>
              <w:spacing w:after="0" w:line="240" w:lineRule="auto"/>
            </w:pPr>
          </w:p>
        </w:tc>
        <w:tc>
          <w:tcPr>
            <w:tcW w:w="15755" w:type="dxa"/>
          </w:tcPr>
          <w:p>
            <w:pPr>
              <w:pStyle w:val="EmptyCellLayoutStyle"/>
              <w:spacing w:after="0" w:line="240" w:lineRule="auto"/>
            </w:pPr>
          </w:p>
        </w:tc>
        <w:tc>
          <w:tcPr>
            <w:tcW w:w="61" w:type="dxa"/>
          </w:tcPr>
          <w:p>
            <w:pPr>
              <w:pStyle w:val="EmptyCellLayoutStyle"/>
              <w:spacing w:after="0" w:line="240" w:lineRule="auto"/>
            </w:pPr>
          </w:p>
        </w:tc>
      </w:tr>
    </w:tbl>
    <w:p>
      <w:pPr>
        <w:spacing w:after="0" w:line="240" w:lineRule="auto"/>
      </w:pPr>
    </w:p>
    <w:sectPr w:rsidRPr="" w:rsidDel="" w:rsidR="" w:rsidSect="">
      <w:footerReference r:id="rId5" w:type="default"/>
      <w:pgSz w:w="16837" w:h="11905"/>
      <w:pgMar w:top="850" w:right="453" w:bottom="453" w:left="453" w:header="" w:footer="" w:gutter=""/>
    </w:sectPr>
  </w:body>
</w:document>
</file>

<file path=word/footer0.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72"/>
      <w:gridCol w:w="3121"/>
      <w:gridCol w:w="6983"/>
      <w:gridCol w:w="5655"/>
      <w:gridCol w:w="66"/>
    </w:tblGrid>
    <w:tr>
      <w:trPr/>
      <w:tc>
        <w:tcPr>
          <w:tcW w:w="72" w:type="dxa"/>
        </w:tcPr>
        <w:p>
          <w:pPr>
            <w:pStyle w:val="EmptyCellLayoutStyle"/>
            <w:spacing w:after="0" w:line="240" w:lineRule="auto"/>
          </w:pPr>
        </w:p>
      </w:tc>
      <w:tc>
        <w:tcPr>
          <w:tcW w:w="3121" w:type="dxa"/>
        </w:tcPr>
        <w:p>
          <w:pPr>
            <w:pStyle w:val="EmptyCellLayoutStyle"/>
            <w:spacing w:after="0" w:line="240" w:lineRule="auto"/>
          </w:pPr>
        </w:p>
      </w:tc>
      <w:tc>
        <w:tcPr>
          <w:tcW w:w="6983" w:type="dxa"/>
        </w:tcPr>
        <w:p>
          <w:pPr>
            <w:pStyle w:val="EmptyCellLayoutStyle"/>
            <w:spacing w:after="0" w:line="240" w:lineRule="auto"/>
          </w:pPr>
        </w:p>
      </w:tc>
      <w:tc>
        <w:tcPr>
          <w:tcW w:w="5655" w:type="dxa"/>
          <w:vMerge w:val="restart"/>
        </w:tcPr>
        <w:tbl>
          <w:tblPr>
            <w:tblCellMar>
              <w:top w:w="0" w:type="dxa"/>
              <w:left w:w="0" w:type="dxa"/>
              <w:bottom w:w="0" w:type="dxa"/>
              <w:right w:w="0" w:type="dxa"/>
            </w:tblCellMar>
          </w:tblPr>
          <w:tblGrid>
            <w:gridCol w:w="5655"/>
          </w:tblGrid>
          <w:tr>
            <w:trPr>
              <w:trHeight w:val="234" w:hRule="atLeast"/>
            </w:trPr>
            <w:tc>
              <w:tcPr>
                <w:tcW w:w="5655"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Times New Roman" w:hAnsi="Times New Roman" w:eastAsia="Times New Roman"/>
                    <w:color w:val="000000"/>
                    <w:sz w:val="20"/>
                  </w:rPr>
                  <w:t xml:space="preserve">Puslapis </w:t>
                </w:r>
                <w:r>
                  <w:rPr>
                    <w:rFonts w:ascii="Times New Roman" w:hAnsi="Times New Roman" w:eastAsia="Times New Roman"/>
                    <w:color w:val="000000"/>
                    <w:sz w:val="20"/>
                  </w:rPr>
                  <w:fldChar w:fldCharType="begin" w:fldLock="0" w:dirty="0"/>
                </w:r>
                <w:r>
                  <w:rPr>
                    <w:rFonts w:ascii="Times New Roman" w:hAnsi="Times New Roman" w:eastAsia="Times New Roman"/>
                    <w:noProof/>
                    <w:color w:val="000000"/>
                    <w:sz w:val="20"/>
                  </w:rPr>
                  <w:instrText xml:space="preserve"> PAGE </w:instrText>
                </w:r>
                <w:r>
                  <w:rPr>
                    <w:rFonts w:ascii="Times New Roman" w:hAnsi="Times New Roman" w:eastAsia="Times New Roman"/>
                    <w:color w:val="000000"/>
                    <w:sz w:val="20"/>
                  </w:rPr>
                  <w:fldChar w:fldCharType="separate" w:fldLock="0" w:dirty="0"/>
                </w:r>
                <w:r>
                  <w:rPr>
                    <w:rFonts w:ascii="Times New Roman" w:hAnsi="Times New Roman" w:eastAsia="Times New Roman"/>
                    <w:color w:val="000000"/>
                    <w:sz w:val="20"/>
                  </w:rPr>
                  <w:t xml:space="preserve">1</w:t>
                </w:r>
                <w:r>
                  <w:rPr>
                    <w:rFonts w:ascii="Times New Roman" w:hAnsi="Times New Roman" w:eastAsia="Times New Roman"/>
                    <w:color w:val="000000"/>
                    <w:sz w:val="20"/>
                  </w:rPr>
                  <w:fldChar w:fldCharType="end" w:fldLock="0" w:dirty="0"/>
                </w:r>
                <w:r>
                  <w:rPr>
                    <w:rFonts w:ascii="Times New Roman" w:hAnsi="Times New Roman" w:eastAsia="Times New Roman"/>
                    <w:color w:val="000000"/>
                    <w:sz w:val="20"/>
                  </w:rPr>
                  <w:t xml:space="preserve"> iš </w:t>
                </w:r>
                <w:r>
                  <w:rPr>
                    <w:rFonts w:ascii="Times New Roman" w:hAnsi="Times New Roman" w:eastAsia="Times New Roman"/>
                    <w:color w:val="000000"/>
                    <w:sz w:val="20"/>
                  </w:rPr>
                  <w:fldChar w:fldCharType="begin" w:fldLock="0" w:dirty="0"/>
                </w:r>
                <w:r>
                  <w:rPr>
                    <w:rFonts w:ascii="Times New Roman" w:hAnsi="Times New Roman" w:eastAsia="Times New Roman"/>
                    <w:noProof/>
                    <w:color w:val="000000"/>
                    <w:sz w:val="20"/>
                  </w:rPr>
                  <w:instrText xml:space="preserve"> NUMPAGES </w:instrText>
                </w:r>
                <w:r>
                  <w:rPr>
                    <w:rFonts w:ascii="Times New Roman" w:hAnsi="Times New Roman" w:eastAsia="Times New Roman"/>
                    <w:color w:val="000000"/>
                    <w:sz w:val="20"/>
                  </w:rPr>
                  <w:fldChar w:fldCharType="separate" w:fldLock="0" w:dirty="0"/>
                </w:r>
                <w:r>
                  <w:rPr>
                    <w:rFonts w:ascii="Times New Roman" w:hAnsi="Times New Roman" w:eastAsia="Times New Roman"/>
                    <w:color w:val="000000"/>
                    <w:sz w:val="20"/>
                  </w:rPr>
                  <w:t xml:space="preserve">1</w:t>
                </w:r>
                <w:r>
                  <w:rPr>
                    <w:rFonts w:ascii="Times New Roman" w:hAnsi="Times New Roman" w:eastAsia="Times New Roman"/>
                    <w:color w:val="000000"/>
                    <w:sz w:val="20"/>
                  </w:rPr>
                  <w:fldChar w:fldCharType="end" w:fldLock="0" w:dirty="0"/>
                </w:r>
              </w:p>
            </w:tc>
          </w:tr>
        </w:tbl>
        <w:p>
          <w:pPr>
            <w:spacing w:after="0" w:line="240" w:lineRule="auto"/>
          </w:pPr>
        </w:p>
      </w:tc>
      <w:tc>
        <w:tcPr>
          <w:tcW w:w="66" w:type="dxa"/>
        </w:tcPr>
        <w:p>
          <w:pPr>
            <w:pStyle w:val="EmptyCellLayoutStyle"/>
            <w:spacing w:after="0" w:line="240" w:lineRule="auto"/>
          </w:pPr>
        </w:p>
      </w:tc>
    </w:tr>
    <w:tr>
      <w:trPr/>
      <w:tc>
        <w:tcPr>
          <w:tcW w:w="72" w:type="dxa"/>
        </w:tcPr>
        <w:p>
          <w:pPr>
            <w:pStyle w:val="EmptyCellLayoutStyle"/>
            <w:spacing w:after="0" w:line="240" w:lineRule="auto"/>
          </w:pPr>
        </w:p>
      </w:tc>
      <w:tc>
        <w:tcPr>
          <w:tcW w:w="3121" w:type="dxa"/>
        </w:tcPr>
        <w:tbl>
          <w:tblPr>
            <w:tblCellMar>
              <w:top w:w="0" w:type="dxa"/>
              <w:left w:w="0" w:type="dxa"/>
              <w:bottom w:w="0" w:type="dxa"/>
              <w:right w:w="0" w:type="dxa"/>
            </w:tblCellMar>
          </w:tblPr>
          <w:tblGrid>
            <w:gridCol w:w="3121"/>
          </w:tblGrid>
          <w:tr>
            <w:trPr>
              <w:trHeight w:val="241" w:hRule="atLeast"/>
            </w:trPr>
            <w:tc>
              <w:tcPr>
                <w:tcW w:w="3121" w:type="dxa"/>
                <w:tcBorders>
                  <w:top w:val="nil" w:color="000000" w:sz="7"/>
                  <w:left w:val="nil" w:color="000000" w:sz="7"/>
                  <w:bottom w:val="nil" w:color="000000" w:sz="7"/>
                  <w:right w:val="nil" w:color="000000" w:sz="7"/>
                </w:tcBorders>
                <w:tcMar>
                  <w:top w:w="0" w:type="dxa"/>
                  <w:left w:w="39" w:type="dxa"/>
                  <w:bottom w:w="39" w:type="dxa"/>
                  <w:right w:w="39" w:type="dxa"/>
                </w:tcMar>
              </w:tcPr>
              <w:p>
                <w:pPr>
                  <w:spacing w:after="0" w:line="240" w:lineRule="auto"/>
                  <w:jc w:val="left"/>
                </w:pPr>
                <w:r>
                  <w:rPr>
                    <w:rFonts w:ascii="Times New Roman" w:hAnsi="Times New Roman" w:eastAsia="Times New Roman"/>
                    <w:color w:val="000000"/>
                    <w:sz w:val="20"/>
                  </w:rPr>
                  <w:t xml:space="preserve">Suformuota: </w:t>
                </w:r>
                <w:r>
                  <w:rPr>
                    <w:rFonts w:ascii="Times New Roman" w:hAnsi="Times New Roman" w:eastAsia="Times New Roman"/>
                    <w:color w:val="000000"/>
                    <w:sz w:val="20"/>
                  </w:rPr>
                  <w:t xml:space="preserve">2021-05-26 13:16:21</w:t>
                </w:r>
              </w:p>
            </w:tc>
          </w:tr>
        </w:tbl>
        <w:p>
          <w:pPr>
            <w:spacing w:after="0" w:line="240" w:lineRule="auto"/>
          </w:pPr>
        </w:p>
      </w:tc>
      <w:tc>
        <w:tcPr>
          <w:tcW w:w="6983" w:type="dxa"/>
        </w:tcPr>
        <w:p>
          <w:pPr>
            <w:pStyle w:val="EmptyCellLayoutStyle"/>
            <w:spacing w:after="0" w:line="240" w:lineRule="auto"/>
          </w:pPr>
        </w:p>
      </w:tc>
      <w:tc>
        <w:tcPr>
          <w:tcW w:w="5655" w:type="dxa"/>
          <w:vMerge w:val="continue"/>
        </w:tcPr>
        <w:p>
          <w:pPr>
            <w:pStyle w:val="EmptyCellLayoutStyle"/>
            <w:spacing w:after="0" w:line="240" w:lineRule="auto"/>
          </w:pPr>
        </w:p>
      </w:tc>
      <w:tc>
        <w:tcPr>
          <w:tcW w:w="66" w:type="dxa"/>
        </w:tcPr>
        <w:p>
          <w:pPr>
            <w:pStyle w:val="EmptyCellLayoutStyle"/>
            <w:spacing w:after="0" w:line="240" w:lineRule="auto"/>
          </w:pPr>
        </w:p>
      </w:tc>
    </w:tr>
    <w:tr>
      <w:trPr/>
      <w:tc>
        <w:tcPr>
          <w:tcW w:w="72" w:type="dxa"/>
        </w:tcPr>
        <w:p>
          <w:pPr>
            <w:pStyle w:val="EmptyCellLayoutStyle"/>
            <w:spacing w:after="0" w:line="240" w:lineRule="auto"/>
          </w:pPr>
        </w:p>
      </w:tc>
      <w:tc>
        <w:tcPr>
          <w:tcW w:w="3121" w:type="dxa"/>
        </w:tcPr>
        <w:p>
          <w:pPr>
            <w:pStyle w:val="EmptyCellLayoutStyle"/>
            <w:spacing w:after="0" w:line="240" w:lineRule="auto"/>
          </w:pPr>
        </w:p>
      </w:tc>
      <w:tc>
        <w:tcPr>
          <w:tcW w:w="6983" w:type="dxa"/>
        </w:tcPr>
        <w:p>
          <w:pPr>
            <w:pStyle w:val="EmptyCellLayoutStyle"/>
            <w:spacing w:after="0" w:line="240" w:lineRule="auto"/>
          </w:pPr>
        </w:p>
      </w:tc>
      <w:tc>
        <w:tcPr>
          <w:tcW w:w="5655" w:type="dxa"/>
        </w:tcPr>
        <w:p>
          <w:pPr>
            <w:pStyle w:val="EmptyCellLayoutStyle"/>
            <w:spacing w:after="0" w:line="240" w:lineRule="auto"/>
          </w:pPr>
        </w:p>
      </w:tc>
      <w:tc>
        <w:tcPr>
          <w:tcW w:w="66" w:type="dxa"/>
        </w:tcPr>
        <w:p>
          <w:pPr>
            <w:pStyle w:val="EmptyCellLayoutStyle"/>
            <w:spacing w:after="0" w:line="240" w:lineRule="auto"/>
          </w:pPr>
        </w:p>
      </w:tc>
    </w:tr>
  </w:tbl>
</w:ft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footer" Target="/word/footer0.xml" Id="rId5" /><Relationship Type="http://schemas.openxmlformats.org/officeDocument/2006/relationships/image" Target="/word/media/img3.png" Id="rId6" /><Relationship Type="http://schemas.openxmlformats.org/officeDocument/2006/relationships/image" Target="/word/media/img4.png" Id="rId7" /><Relationship Type="http://schemas.openxmlformats.org/officeDocument/2006/relationships/image" Target="/word/media/img5.png" Id="rId8" /><Relationship Type="http://schemas.openxmlformats.org/officeDocument/2006/relationships/image" Target="/word/media/img6.png" Id="rId9" /><Relationship Type="http://schemas.openxmlformats.org/officeDocument/2006/relationships/image" Target="/word/media/img7.png" Id="rId10" /><Relationship Type="http://schemas.openxmlformats.org/officeDocument/2006/relationships/image" Target="/word/media/img8.png" Id="rId11" /><Relationship Type="http://schemas.openxmlformats.org/officeDocument/2006/relationships/image" Target="/word/media/img9.png" Id="rId12" /><Relationship Type="http://schemas.openxmlformats.org/officeDocument/2006/relationships/image" Target="/word/media/img10.png" Id="rId13" /><Relationship Type="http://schemas.openxmlformats.org/officeDocument/2006/relationships/image" Target="/word/media/img11.png" Id="rId14" /><Relationship Type="http://schemas.openxmlformats.org/officeDocument/2006/relationships/image" Target="/word/media/img12.png" Id="rId15" /><Relationship Type="http://schemas.openxmlformats.org/officeDocument/2006/relationships/image" Target="/word/media/img13.png" Id="rId16" /><Relationship Type="http://schemas.openxmlformats.org/officeDocument/2006/relationships/image" Target="/word/media/img14.png" Id="rId17" /><Relationship Type="http://schemas.openxmlformats.org/officeDocument/2006/relationships/image" Target="/word/media/img15.png" Id="rId18" /><Relationship Type="http://schemas.openxmlformats.org/officeDocument/2006/relationships/image" Target="/word/media/img16.png" Id="rId19" /><Relationship Type="http://schemas.openxmlformats.org/officeDocument/2006/relationships/image" Target="/word/media/img17.png" Id="rId20" /><Relationship Type="http://schemas.openxmlformats.org/officeDocument/2006/relationships/image" Target="/word/media/img18.png" Id="rId21" /><Relationship Type="http://schemas.openxmlformats.org/officeDocument/2006/relationships/image" Target="/word/media/img19.png" Id="rId22" /><Relationship Type="http://schemas.openxmlformats.org/officeDocument/2006/relationships/image" Target="/word/media/img20.png" Id="rId23" /><Relationship Type="http://schemas.openxmlformats.org/officeDocument/2006/relationships/image" Target="/word/media/img21.png" Id="rId24" /><Relationship Type="http://schemas.openxmlformats.org/officeDocument/2006/relationships/image" Target="/word/media/img22.png" Id="rId25" /><Relationship Type="http://schemas.openxmlformats.org/officeDocument/2006/relationships/image" Target="/word/media/img23.png" Id="rId26" /><Relationship Type="http://schemas.openxmlformats.org/officeDocument/2006/relationships/image" Target="/word/media/img24.png" Id="rId27" /><Relationship Type="http://schemas.openxmlformats.org/officeDocument/2006/relationships/image" Target="/word/media/img25.png" Id="rId28" /><Relationship Type="http://schemas.openxmlformats.org/officeDocument/2006/relationships/image" Target="/word/media/img26.png" Id="rId29" /><Relationship Type="http://schemas.openxmlformats.org/officeDocument/2006/relationships/image" Target="/word/media/img27.png" Id="rId30" /><Relationship Type="http://schemas.openxmlformats.org/officeDocument/2006/relationships/image" Target="/word/media/img28.png" Id="rId31" /><Relationship Type="http://schemas.openxmlformats.org/officeDocument/2006/relationships/image" Target="/word/media/img29.png" Id="rId32" /><Relationship Type="http://schemas.openxmlformats.org/officeDocument/2006/relationships/image" Target="/word/media/img30.png" Id="rId33" /><Relationship Type="http://schemas.openxmlformats.org/officeDocument/2006/relationships/image" Target="/word/media/img31.png" Id="rId34" /><Relationship Type="http://schemas.openxmlformats.org/officeDocument/2006/relationships/image" Target="/word/media/img32.png" Id="rId35" /><Relationship Type="http://schemas.openxmlformats.org/officeDocument/2006/relationships/image" Target="/word/media/img33.png" Id="rId36" /><Relationship Type="http://schemas.openxmlformats.org/officeDocument/2006/relationships/image" Target="/word/media/img34.png" Id="rId37" /><Relationship Type="http://schemas.openxmlformats.org/officeDocument/2006/relationships/image" Target="/word/media/img35.png" Id="rId38" /><Relationship Type="http://schemas.openxmlformats.org/officeDocument/2006/relationships/image" Target="/word/media/img36.png" Id="rId39" /><Relationship Type="http://schemas.openxmlformats.org/officeDocument/2006/relationships/image" Target="/word/media/img37.png" Id="rId40" /><Relationship Type="http://schemas.openxmlformats.org/officeDocument/2006/relationships/image" Target="/word/media/img38.png" Id="rId41" /><Relationship Type="http://schemas.openxmlformats.org/officeDocument/2006/relationships/image" Target="/word/media/img39.png" Id="rId42" /><Relationship Type="http://schemas.openxmlformats.org/officeDocument/2006/relationships/image" Target="/word/media/img40.png" Id="rId43" /><Relationship Type="http://schemas.openxmlformats.org/officeDocument/2006/relationships/numbering" Target="/word/numbering.xml" Id="rId45"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Savivaldybės mokinių sveikatos rodiklių suvestinė2020</dc:title>
</cp:coreProperties>
</file>