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"/>
        <w:gridCol w:w="6"/>
        <w:gridCol w:w="6"/>
        <w:gridCol w:w="15755"/>
        <w:gridCol w:w="61"/>
      </w:tblGrid>
      <w:tr w:rsidR="00AE2732">
        <w:trPr>
          <w:trHeight w:val="90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F17F1F" w:rsidTr="00F17F1F">
        <w:trPr>
          <w:trHeight w:val="410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60"/>
            </w:tblGrid>
            <w:tr w:rsidR="00AE2732">
              <w:trPr>
                <w:trHeight w:val="33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  <w:sz w:val="28"/>
                    </w:rPr>
                    <w:t>Švenčionių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r. sav.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besimokančių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vaikų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sveikatos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rodiklių</w:t>
                  </w:r>
                  <w:proofErr w:type="spellEnd"/>
                  <w:r>
                    <w:rPr>
                      <w:b/>
                      <w:color w:val="00000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8"/>
                    </w:rPr>
                    <w:t>suvestinė</w:t>
                  </w:r>
                  <w:proofErr w:type="spellEnd"/>
                </w:p>
              </w:tc>
            </w:tr>
          </w:tbl>
          <w:p w:rsidR="00AE2732" w:rsidRDefault="00AE2732">
            <w:pPr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140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340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55"/>
            </w:tblGrid>
            <w:tr w:rsidR="00AE2732">
              <w:trPr>
                <w:trHeight w:val="262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</w:rPr>
                    <w:t>Filtras:</w:t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Metai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2018;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color w:val="000000"/>
                    </w:rPr>
                    <w:t>Švenčionių</w:t>
                  </w:r>
                  <w:proofErr w:type="spellEnd"/>
                  <w:r>
                    <w:rPr>
                      <w:color w:val="000000"/>
                    </w:rPr>
                    <w:t xml:space="preserve"> r. sav.; </w:t>
                  </w:r>
                  <w:proofErr w:type="spellStart"/>
                  <w:r>
                    <w:rPr>
                      <w:b/>
                      <w:color w:val="000000"/>
                    </w:rPr>
                    <w:t>Amžius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7-99;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tipas</w:t>
                  </w:r>
                  <w:proofErr w:type="spellEnd"/>
                  <w:r>
                    <w:rPr>
                      <w:b/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 xml:space="preserve"> #Error</w:t>
                  </w:r>
                </w:p>
              </w:tc>
            </w:tr>
          </w:tbl>
          <w:p w:rsidR="00AE2732" w:rsidRDefault="00AE2732">
            <w:pPr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152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F17F1F" w:rsidTr="00F17F1F"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7341"/>
              <w:gridCol w:w="737"/>
              <w:gridCol w:w="3741"/>
              <w:gridCol w:w="1984"/>
              <w:gridCol w:w="1218"/>
            </w:tblGrid>
            <w:tr w:rsidR="00F17F1F" w:rsidTr="00F17F1F">
              <w:trPr>
                <w:trHeight w:val="466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1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mažesnė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reikšmė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2" name="img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didesnė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reikšmė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</w:tr>
            <w:tr w:rsidR="00AE2732">
              <w:trPr>
                <w:trHeight w:val="466"/>
              </w:trPr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8000" cy="345600"/>
                        <wp:effectExtent l="0" t="0" r="0" b="0"/>
                        <wp:docPr id="4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color w:val="000000"/>
                    </w:rPr>
                    <w:t>Rodiklis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statistiškai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reikšmingai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nesiskiria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palyginus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su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rodiklio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reikšme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60000" cy="345600"/>
                        <wp:effectExtent l="0" t="0" r="0" b="0"/>
                        <wp:docPr id="6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0" cy="345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AE2732">
                  <w:pPr>
                    <w:spacing w:after="0" w:line="240" w:lineRule="auto"/>
                  </w:pPr>
                </w:p>
              </w:tc>
            </w:tr>
          </w:tbl>
          <w:p w:rsidR="00AE2732" w:rsidRDefault="00AE2732">
            <w:pPr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35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F17F1F" w:rsidTr="00F17F1F"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single" w:sz="1" w:space="0" w:color="000000"/>
                <w:left w:val="single" w:sz="3" w:space="0" w:color="000000"/>
                <w:bottom w:val="single" w:sz="1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7335"/>
              <w:gridCol w:w="737"/>
              <w:gridCol w:w="1247"/>
              <w:gridCol w:w="737"/>
              <w:gridCol w:w="737"/>
              <w:gridCol w:w="1020"/>
              <w:gridCol w:w="1986"/>
              <w:gridCol w:w="1218"/>
            </w:tblGrid>
            <w:tr w:rsidR="00AE2732">
              <w:trPr>
                <w:trHeight w:val="77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Eil</w:t>
                  </w:r>
                  <w:proofErr w:type="spellEnd"/>
                  <w:r>
                    <w:rPr>
                      <w:b/>
                      <w:color w:val="000000"/>
                    </w:rPr>
                    <w:t>. Nr.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Rodiklis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reikšmė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savivaldybėje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Min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Max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Rodiklio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reikšmė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Lietuvoje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Vaizdavimas</w:t>
                  </w:r>
                  <w:proofErr w:type="spellEnd"/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Pokytis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praeitų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metų</w:t>
                  </w:r>
                  <w:proofErr w:type="spellEnd"/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lankančių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įstaigas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savivaldybėje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skaičius</w:t>
                  </w:r>
                  <w:proofErr w:type="spellEnd"/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2074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2074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285856.00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8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10.03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pristačiusių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formą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Nr. E027-1,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1318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63.55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239.00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65.46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0" name="img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g8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-43.75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kurių</w:t>
                  </w:r>
                  <w:proofErr w:type="spellEnd"/>
                  <w:r>
                    <w:rPr>
                      <w:b/>
                      <w:color w:val="000000"/>
                    </w:rPr>
                    <w:t> 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>  Nr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. E027-1 </w:t>
                  </w:r>
                  <w:proofErr w:type="spell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I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"</w:t>
                  </w:r>
                  <w:proofErr w:type="spellStart"/>
                  <w:r>
                    <w:rPr>
                      <w:b/>
                      <w:color w:val="000000"/>
                    </w:rPr>
                    <w:t>Fizinės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būklės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įvertinimas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" </w:t>
                  </w:r>
                  <w:proofErr w:type="spellStart"/>
                  <w:r>
                    <w:rPr>
                      <w:b/>
                      <w:color w:val="000000"/>
                    </w:rPr>
                    <w:t>užpildyta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97.40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68.00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466.00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99.61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2" name="img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img9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-14.23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kurių</w:t>
                  </w:r>
                  <w:proofErr w:type="spellEnd"/>
                  <w:r>
                    <w:rPr>
                      <w:b/>
                      <w:color w:val="000000"/>
                    </w:rPr>
                    <w:t> 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>  Nr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. E027-1 </w:t>
                  </w:r>
                  <w:proofErr w:type="spellStart"/>
                  <w:r>
                    <w:rPr>
                      <w:b/>
                      <w:color w:val="000000"/>
                    </w:rPr>
                    <w:t>formos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II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"</w:t>
                  </w:r>
                  <w:proofErr w:type="spellStart"/>
                  <w:r>
                    <w:rPr>
                      <w:b/>
                      <w:color w:val="000000"/>
                    </w:rPr>
                    <w:t>Dantų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ir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žandikaulių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būklės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įvertinimas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" </w:t>
                  </w:r>
                  <w:proofErr w:type="spellStart"/>
                  <w:r>
                    <w:rPr>
                      <w:b/>
                      <w:color w:val="000000"/>
                    </w:rPr>
                    <w:t>užpildyta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1318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63.55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58.00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239.00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65.59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4" name="img1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g10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-43.77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galinčių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dalyvauti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veikloje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be </w:t>
                  </w:r>
                  <w:proofErr w:type="spellStart"/>
                  <w:r>
                    <w:rPr>
                      <w:b/>
                      <w:color w:val="000000"/>
                    </w:rPr>
                    <w:t>jokių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apribojimų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1938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95.94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61.00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445.00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93.68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6" name="img11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g11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-12.11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per </w:t>
                  </w:r>
                  <w:proofErr w:type="spellStart"/>
                  <w:r>
                    <w:rPr>
                      <w:b/>
                      <w:color w:val="000000"/>
                    </w:rPr>
                    <w:t>mažą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235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11.63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52.00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11.68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18" name="img1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img12.png"/>
                                      <pic:cNvPicPr/>
                                    </pic:nvPicPr>
                                    <pic:blipFill>
                                      <a:blip r:embed="rId1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-13.92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normalų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1284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63.56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315.00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65.42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0" name="img1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img13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-16.08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didelį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antsvoris</w:t>
                  </w:r>
                  <w:proofErr w:type="spellEnd"/>
                  <w:r>
                    <w:rPr>
                      <w:b/>
                      <w:color w:val="000000"/>
                    </w:rPr>
                    <w:t>)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319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15.79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76.00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14.78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2" name="img1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g14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-16.27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labai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didelį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KMI,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nutukimas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8.96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5.83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4" name="img1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" name="img15.png"/>
                                      <pic:cNvPicPr/>
                                    </pic:nvPicPr>
                                    <pic:blipFill>
                                      <a:blip r:embed="rId1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8.38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priskiriamų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pagrindinei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fizinio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grupei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1875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92.82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62.00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416.00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94.40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6" name="img16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g16.png"/>
                                      <pic:cNvPicPr/>
                                    </pic:nvPicPr>
                                    <pic:blipFill>
                                      <a:blip r:embed="rId2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-13.11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11.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priskiriamų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parengiamajai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fizinio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grupei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79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3.91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3.51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28" name="img1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img17.png"/>
                                      <pic:cNvPicPr/>
                                    </pic:nvPicPr>
                                    <pic:blipFill>
                                      <a:blip r:embed="rId2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-34.71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12.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priskiriamų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specialiajai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fizinio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ugdymo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grupei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1.68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1.41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0" name="img18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1" name="img18.png"/>
                                      <pic:cNvPicPr/>
                                    </pic:nvPicPr>
                                    <pic:blipFill>
                                      <a:blip r:embed="rId2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-35.85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13.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nurodytos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bendrosios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rekomendacijos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2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NA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14.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nurodytos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specialiosios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rekomendacijos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232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11.49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104.00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32.76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4" name="img19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g19.png"/>
                                      <pic:cNvPicPr/>
                                    </pic:nvPicPr>
                                    <pic:blipFill>
                                      <a:blip r:embed="rId2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-82.57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15.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atleistų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nuo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kūno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kultūros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pamokų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0.05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0.30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6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7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NA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16.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kuriems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pritaikytas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maitinimas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38" name="img7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g7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NA</w:t>
                  </w:r>
                </w:p>
              </w:tc>
            </w:tr>
            <w:tr w:rsidR="00AE2732">
              <w:trPr>
                <w:trHeight w:val="262"/>
              </w:trPr>
              <w:tc>
                <w:tcPr>
                  <w:tcW w:w="737" w:type="dxa"/>
                  <w:tcBorders>
                    <w:top w:val="single" w:sz="1" w:space="0" w:color="000000"/>
                    <w:left w:val="single" w:sz="3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lastRenderedPageBreak/>
                    <w:t>17.</w:t>
                  </w:r>
                </w:p>
              </w:tc>
              <w:tc>
                <w:tcPr>
                  <w:tcW w:w="734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color w:val="000000"/>
                    </w:rPr>
                    <w:t>Mokinių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turinčių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per </w:t>
                  </w:r>
                  <w:proofErr w:type="spellStart"/>
                  <w:r>
                    <w:rPr>
                      <w:b/>
                      <w:color w:val="000000"/>
                    </w:rPr>
                    <w:t>aukštą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</w:rPr>
                    <w:t>bendrą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b/>
                      <w:color w:val="000000"/>
                    </w:rPr>
                    <w:t>KPI+kpi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b/>
                      <w:color w:val="000000"/>
                    </w:rPr>
                    <w:t>indeksą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b/>
                      <w:color w:val="000000"/>
                    </w:rPr>
                    <w:t>dalis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(%)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426</w:t>
                  </w:r>
                </w:p>
              </w:tc>
              <w:tc>
                <w:tcPr>
                  <w:tcW w:w="1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32.32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14.00</w:t>
                  </w:r>
                </w:p>
              </w:tc>
              <w:tc>
                <w:tcPr>
                  <w:tcW w:w="7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103.00</w:t>
                  </w:r>
                </w:p>
              </w:tc>
              <w:tc>
                <w:tcPr>
                  <w:tcW w:w="102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13.98</w:t>
                  </w:r>
                </w:p>
              </w:tc>
              <w:tc>
                <w:tcPr>
                  <w:tcW w:w="198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4"/>
                  </w:tblGrid>
                  <w:tr w:rsidR="00AE2732">
                    <w:trPr>
                      <w:trHeight w:val="340"/>
                    </w:trPr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0000" cy="216000"/>
                              <wp:effectExtent l="0" t="0" r="0" b="0"/>
                              <wp:docPr id="40" name="img20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" name="img20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0000" cy="216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1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3" w:space="0" w:color="000000"/>
                  </w:tcBorders>
                  <w:shd w:val="clear" w:color="auto" w:fill="FFC0CB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-38.62</w:t>
                  </w:r>
                </w:p>
              </w:tc>
            </w:tr>
          </w:tbl>
          <w:p w:rsidR="00AE2732" w:rsidRDefault="00AE2732">
            <w:pPr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192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F17F1F" w:rsidTr="00F17F1F"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60"/>
            </w:tblGrid>
            <w:tr w:rsidR="00AE2732">
              <w:trPr>
                <w:trHeight w:val="361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</w:t>
                  </w:r>
                  <w:proofErr w:type="spellStart"/>
                  <w:r>
                    <w:rPr>
                      <w:color w:val="000000"/>
                    </w:rPr>
                    <w:t>Mokinių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pasiskirstymas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pagal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kūno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masės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indekso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grupes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</w:tc>
            </w:tr>
            <w:tr w:rsidR="00AE2732">
              <w:trPr>
                <w:trHeight w:val="158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100800"/>
                        <wp:effectExtent l="0" t="0" r="0" b="0"/>
                        <wp:docPr id="42" name="img2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g21.png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10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2732">
              <w:trPr>
                <w:trHeight w:val="1133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720000"/>
                        <wp:effectExtent l="0" t="0" r="0" b="0"/>
                        <wp:docPr id="44" name="img2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img22.png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2732">
              <w:trPr>
                <w:trHeight w:val="176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2"/>
                    </w:rPr>
                    <w:t xml:space="preserve">               1 - </w:t>
                  </w:r>
                  <w:proofErr w:type="spellStart"/>
                  <w:r>
                    <w:rPr>
                      <w:b/>
                      <w:color w:val="000000"/>
                      <w:sz w:val="12"/>
                    </w:rPr>
                    <w:t>Nenurodyta</w:t>
                  </w:r>
                  <w:proofErr w:type="spellEnd"/>
                  <w:r>
                    <w:rPr>
                      <w:b/>
                      <w:color w:val="000000"/>
                      <w:sz w:val="12"/>
                    </w:rPr>
                    <w:t xml:space="preserve"> (0%) </w:t>
                  </w:r>
                </w:p>
              </w:tc>
            </w:tr>
            <w:tr w:rsidR="00AE2732">
              <w:trPr>
                <w:trHeight w:val="346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**</w:t>
                  </w:r>
                  <w:proofErr w:type="spellStart"/>
                  <w:r>
                    <w:rPr>
                      <w:color w:val="000000"/>
                    </w:rPr>
                    <w:t>Mokinių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pasiskirstymas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pagal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ėduonies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intensyvumą</w:t>
                  </w:r>
                  <w:proofErr w:type="spellEnd"/>
                  <w:r>
                    <w:rPr>
                      <w:color w:val="000000"/>
                    </w:rPr>
                    <w:t xml:space="preserve"> (KPI </w:t>
                  </w:r>
                  <w:proofErr w:type="spellStart"/>
                  <w:r>
                    <w:rPr>
                      <w:color w:val="000000"/>
                    </w:rPr>
                    <w:t>indeksas</w:t>
                  </w:r>
                  <w:proofErr w:type="spell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kur</w:t>
                  </w:r>
                  <w:proofErr w:type="spellEnd"/>
                  <w:r>
                    <w:rPr>
                      <w:color w:val="000000"/>
                    </w:rPr>
                    <w:t xml:space="preserve"> K - </w:t>
                  </w:r>
                  <w:proofErr w:type="spellStart"/>
                  <w:r>
                    <w:rPr>
                      <w:color w:val="000000"/>
                    </w:rPr>
                    <w:t>ėduonies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pažeistų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 xml:space="preserve">, P - </w:t>
                  </w:r>
                  <w:proofErr w:type="spellStart"/>
                  <w:r>
                    <w:rPr>
                      <w:color w:val="000000"/>
                    </w:rPr>
                    <w:t>plombuotų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 xml:space="preserve">, I - </w:t>
                  </w:r>
                  <w:proofErr w:type="spellStart"/>
                  <w:r>
                    <w:rPr>
                      <w:color w:val="000000"/>
                    </w:rPr>
                    <w:t>išrautų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nuolatinių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dantų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skaičius</w:t>
                  </w:r>
                  <w:proofErr w:type="spellEnd"/>
                  <w:r>
                    <w:rPr>
                      <w:color w:val="000000"/>
                    </w:rPr>
                    <w:t>):</w:t>
                  </w:r>
                </w:p>
              </w:tc>
            </w:tr>
            <w:tr w:rsidR="00AE2732">
              <w:trPr>
                <w:trHeight w:val="158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100800"/>
                        <wp:effectExtent l="0" t="0" r="0" b="0"/>
                        <wp:docPr id="46" name="img2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img23.png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100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2732">
              <w:trPr>
                <w:trHeight w:val="1133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08000" cy="720000"/>
                        <wp:effectExtent l="0" t="0" r="0" b="0"/>
                        <wp:docPr id="48" name="img2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img24.png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8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E2732">
              <w:trPr>
                <w:trHeight w:val="137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12"/>
                    </w:rPr>
                    <w:t xml:space="preserve">             </w:t>
                  </w:r>
                </w:p>
              </w:tc>
            </w:tr>
          </w:tbl>
          <w:p w:rsidR="00AE2732" w:rsidRDefault="00AE2732">
            <w:pPr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99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F17F1F" w:rsidTr="00F17F1F">
        <w:trPr>
          <w:trHeight w:val="601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760"/>
            </w:tblGrid>
            <w:tr w:rsidR="00AE2732">
              <w:trPr>
                <w:trHeight w:val="523"/>
              </w:trPr>
              <w:tc>
                <w:tcPr>
                  <w:tcW w:w="157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2732" w:rsidRDefault="0014787D">
                  <w:pPr>
                    <w:spacing w:after="0" w:line="240" w:lineRule="auto"/>
                  </w:pPr>
                  <w:proofErr w:type="spellStart"/>
                  <w:r>
                    <w:rPr>
                      <w:b/>
                      <w:i/>
                      <w:color w:val="000000"/>
                    </w:rPr>
                    <w:t>Pastaba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. 2-18 </w:t>
                  </w:r>
                  <w:proofErr w:type="spellStart"/>
                  <w:r>
                    <w:rPr>
                      <w:i/>
                      <w:color w:val="000000"/>
                    </w:rPr>
                    <w:t>rodiklis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paima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tik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tuos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mokinius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000000"/>
                    </w:rPr>
                    <w:t>kurie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ugdymo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įstaigai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pristatė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Formą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Nr. E027-1. 1 </w:t>
                  </w:r>
                  <w:proofErr w:type="spellStart"/>
                  <w:r>
                    <w:rPr>
                      <w:i/>
                      <w:color w:val="000000"/>
                    </w:rPr>
                    <w:t>rodiklis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apima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visus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ugdymo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įstaigas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lankančius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vaikus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. KPI </w:t>
                  </w:r>
                  <w:proofErr w:type="spellStart"/>
                  <w:r>
                    <w:rPr>
                      <w:i/>
                      <w:color w:val="000000"/>
                    </w:rPr>
                    <w:t>ir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kpi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indekso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ribos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i/>
                      <w:color w:val="000000"/>
                    </w:rPr>
                    <w:t>Labai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žemas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- 1,2. </w:t>
                  </w:r>
                  <w:proofErr w:type="spellStart"/>
                  <w:r>
                    <w:rPr>
                      <w:i/>
                      <w:color w:val="000000"/>
                    </w:rPr>
                    <w:t>Žemas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- 1,2-2,6. </w:t>
                  </w:r>
                  <w:proofErr w:type="spellStart"/>
                  <w:r>
                    <w:rPr>
                      <w:i/>
                      <w:color w:val="000000"/>
                    </w:rPr>
                    <w:t>Vidutinis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- 2,7-4,4. </w:t>
                  </w:r>
                  <w:proofErr w:type="spellStart"/>
                  <w:r>
                    <w:rPr>
                      <w:i/>
                      <w:color w:val="000000"/>
                    </w:rPr>
                    <w:t>Aukštas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- 4,5-6,5. </w:t>
                  </w:r>
                  <w:proofErr w:type="spellStart"/>
                  <w:r>
                    <w:rPr>
                      <w:i/>
                      <w:color w:val="000000"/>
                    </w:rPr>
                    <w:t>Labai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000000"/>
                    </w:rPr>
                    <w:t>a</w:t>
                  </w:r>
                  <w:r>
                    <w:rPr>
                      <w:i/>
                      <w:color w:val="000000"/>
                    </w:rPr>
                    <w:t>ukštas</w:t>
                  </w:r>
                  <w:proofErr w:type="spellEnd"/>
                  <w:r>
                    <w:rPr>
                      <w:i/>
                      <w:color w:val="000000"/>
                    </w:rPr>
                    <w:t xml:space="preserve"> - 6,5.</w:t>
                  </w:r>
                </w:p>
              </w:tc>
            </w:tr>
          </w:tbl>
          <w:p w:rsidR="00AE2732" w:rsidRDefault="00AE2732">
            <w:pPr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238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F17F1F" w:rsidTr="00F17F1F"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15018"/>
              <w:gridCol w:w="741"/>
            </w:tblGrid>
            <w:tr w:rsidR="00F17F1F" w:rsidTr="00F17F1F">
              <w:tc>
                <w:tcPr>
                  <w:tcW w:w="4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"/>
                    <w:gridCol w:w="6803"/>
                    <w:gridCol w:w="737"/>
                    <w:gridCol w:w="1247"/>
                    <w:gridCol w:w="737"/>
                    <w:gridCol w:w="737"/>
                    <w:gridCol w:w="1020"/>
                    <w:gridCol w:w="1986"/>
                    <w:gridCol w:w="1218"/>
                  </w:tblGrid>
                  <w:tr w:rsidR="00AE2732">
                    <w:trPr>
                      <w:trHeight w:val="130"/>
                    </w:trPr>
                    <w:tc>
                      <w:tcPr>
                        <w:tcW w:w="538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4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</w:tr>
                  <w:tr w:rsidR="00AE2732">
                    <w:trPr>
                      <w:trHeight w:val="937"/>
                    </w:trPr>
                    <w:tc>
                      <w:tcPr>
                        <w:tcW w:w="538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Eil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. Nr.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Rodiklis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N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Rodiklio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reikšmė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savivaldybėje</w:t>
                        </w:r>
                        <w:proofErr w:type="spellEnd"/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Min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Max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color w:val="000000"/>
                          </w:rPr>
                          <w:t>Rodiklio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reikšmė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Lietuvoje</w:t>
                        </w:r>
                        <w:proofErr w:type="spellEnd"/>
                      </w:p>
                    </w:tc>
                    <w:tc>
                      <w:tcPr>
                        <w:tcW w:w="1984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Vaizdavimas</w:t>
                        </w:r>
                        <w:proofErr w:type="spellEnd"/>
                      </w:p>
                    </w:tc>
                    <w:tc>
                      <w:tcPr>
                        <w:tcW w:w="1218" w:type="dxa"/>
                        <w:tcBorders>
                          <w:top w:val="single" w:sz="3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Pokytis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nuo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praeitų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metų</w:t>
                        </w:r>
                        <w:proofErr w:type="spellEnd"/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6.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kraujo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kraujodaros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organų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bei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tam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tikrais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sutrikimais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susijusiais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imuniniais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mechanizmais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(D50-D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89)(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0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1" name="img7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7.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endokrininėmis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medžiagų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apykaitos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(E00-E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90)(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2.66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9.52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3.35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2" name="img2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" name="img25.png"/>
                                            <pic:cNvPicPr/>
                                          </pic:nvPicPr>
                                          <pic:blipFill>
                                            <a:blip r:embed="rId2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8.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psichikos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elgesio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sutrikimais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(F00-F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4.88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15.15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6.00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4" name="img26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" name="img26.png"/>
                                            <pic:cNvPicPr/>
                                          </pic:nvPicPr>
                                          <pic:blipFill>
                                            <a:blip r:embed="rId30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+2.09%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9.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nervų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(G00-G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3.11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7.38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5.91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6" name="img2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7" name="img27.png"/>
                                            <pic:cNvPicPr/>
                                          </pic:nvPicPr>
                                          <pic:blipFill>
                                            <a:blip r:embed="rId3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10.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akies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jos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priedinių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organų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(H00-H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59)(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3.55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2.28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15.81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3.66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58" name="img28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9" name="img28.png"/>
                                            <pic:cNvPicPr/>
                                          </pic:nvPicPr>
                                          <pic:blipFill>
                                            <a:blip r:embed="rId32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11.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ausies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speninės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ataugos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(H60-H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95)(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0.44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1.06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0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1" name="img7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12.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kraujotakos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(I00-I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1.33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4.62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2.87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2" name="img29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3" name="img29.png"/>
                                            <pic:cNvPicPr/>
                                          </pic:nvPicPr>
                                          <pic:blipFill>
                                            <a:blip r:embed="rId33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lastRenderedPageBreak/>
                          <w:t>13.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kvėpavimo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(J00-J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33.30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5.92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81.08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27.11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4" name="img30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img30.png"/>
                                            <pic:cNvPicPr/>
                                          </pic:nvPicPr>
                                          <pic:blipFill>
                                            <a:blip r:embed="rId34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-7.76%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14.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virškinimo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(K00-K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93)(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10.21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7.38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18.26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12.65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6" name="img31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7" name="img31.png"/>
                                            <pic:cNvPicPr/>
                                          </pic:nvPicPr>
                                          <pic:blipFill>
                                            <a:blip r:embed="rId35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+23.61%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15.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odos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poodžio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(L00-L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4.88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3.95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15.15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3.84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68" name="img32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9" name="img32.png"/>
                                            <pic:cNvPicPr/>
                                          </pic:nvPicPr>
                                          <pic:blipFill>
                                            <a:blip r:embed="rId36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16.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jungiamojo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audinio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raumenų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sistemos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(M00-M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6.22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2.31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15.81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5.47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0" name="img33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1" name="img33.png"/>
                                            <pic:cNvPicPr/>
                                          </pic:nvPicPr>
                                          <pic:blipFill>
                                            <a:blip r:embed="rId3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-31.87%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17.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Ligotumas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lytinėmis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šlapimo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sistemų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ligomis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(N00-N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4.88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4.57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13.51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3.69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2" name="img34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3" name="img34.png"/>
                                            <pic:cNvPicPr/>
                                          </pic:nvPicPr>
                                          <pic:blipFill>
                                            <a:blip r:embed="rId3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NA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18.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Susižalojimų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apsinuodijimų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ir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tam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tikrų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išorinių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poveikių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padarinių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skaičius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(S00-T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98)(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7.55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3.69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16.17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11.35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4" name="img35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5" name="img35.png"/>
                                            <pic:cNvPicPr/>
                                          </pic:nvPicPr>
                                          <pic:blipFill>
                                            <a:blip r:embed="rId3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-3.58%</w:t>
                        </w:r>
                      </w:p>
                    </w:tc>
                  </w:tr>
                  <w:tr w:rsidR="00AE2732">
                    <w:trPr>
                      <w:trHeight w:val="318"/>
                    </w:trPr>
                    <w:tc>
                      <w:tcPr>
                        <w:tcW w:w="53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  <w:color w:val="000000"/>
                          </w:rPr>
                          <w:t>19.</w:t>
                        </w:r>
                      </w:p>
                    </w:tc>
                    <w:tc>
                      <w:tcPr>
                        <w:tcW w:w="680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5F5F5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Mirtingumas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dėl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išorinių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priežasčių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 xml:space="preserve"> (V00-Y</w:t>
                        </w:r>
                        <w:proofErr w:type="gramStart"/>
                        <w:r>
                          <w:rPr>
                            <w:b/>
                            <w:color w:val="000000"/>
                          </w:rPr>
                          <w:t>89)(</w:t>
                        </w:r>
                        <w:proofErr w:type="gramEnd"/>
                        <w:r>
                          <w:rPr>
                            <w:b/>
                            <w:color w:val="000000"/>
                          </w:rPr>
                          <w:t xml:space="preserve">100 000 </w:t>
                        </w:r>
                        <w:proofErr w:type="spellStart"/>
                        <w:r>
                          <w:rPr>
                            <w:b/>
                            <w:color w:val="000000"/>
                          </w:rPr>
                          <w:t>vaikų</w:t>
                        </w:r>
                        <w:proofErr w:type="spellEnd"/>
                        <w:r>
                          <w:rPr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14787D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color w:val="000000"/>
                          </w:rPr>
                          <w:t>-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4"/>
                        </w:tblGrid>
                        <w:tr w:rsidR="00AE2732">
                          <w:trPr>
                            <w:trHeight w:val="340"/>
                          </w:trPr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732" w:rsidRDefault="0014787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60000" cy="216000"/>
                                    <wp:effectExtent l="0" t="0" r="0" b="0"/>
                                    <wp:docPr id="76" name="img7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7" name="img7.png"/>
                                            <pic:cNvPicPr/>
                                          </pic:nvPicPr>
                                          <pic:blipFill>
                                            <a:blip r:embed="rId11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0000" cy="21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E2732">
                          <w:trPr>
                            <w:trHeight w:val="56"/>
                          </w:trPr>
                          <w:tc>
                            <w:tcPr>
                              <w:tcW w:w="1984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AE2732" w:rsidRDefault="00AE2732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  <w:shd w:val="clear" w:color="auto" w:fill="FFFFF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</w:tr>
                  <w:tr w:rsidR="00AE2732">
                    <w:trPr>
                      <w:trHeight w:val="55"/>
                    </w:trPr>
                    <w:tc>
                      <w:tcPr>
                        <w:tcW w:w="538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803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4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737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84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18" w:type="dxa"/>
                      </w:tcPr>
                      <w:p w:rsidR="00AE2732" w:rsidRDefault="00AE273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  <w:tc>
                <w:tcPr>
                  <w:tcW w:w="741" w:type="dxa"/>
                </w:tcPr>
                <w:p w:rsidR="00AE2732" w:rsidRDefault="00AE273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AE2732">
              <w:trPr>
                <w:trHeight w:val="63"/>
              </w:trPr>
              <w:tc>
                <w:tcPr>
                  <w:tcW w:w="4" w:type="dxa"/>
                </w:tcPr>
                <w:p w:rsidR="00AE2732" w:rsidRDefault="00AE27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018" w:type="dxa"/>
                </w:tcPr>
                <w:p w:rsidR="00AE2732" w:rsidRDefault="00AE27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41" w:type="dxa"/>
                </w:tcPr>
                <w:p w:rsidR="00AE2732" w:rsidRDefault="00AE2732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F17F1F" w:rsidTr="00F17F1F">
              <w:trPr>
                <w:trHeight w:val="1131"/>
              </w:trPr>
              <w:tc>
                <w:tcPr>
                  <w:tcW w:w="4" w:type="dxa"/>
                </w:tcPr>
                <w:p w:rsidR="00AE2732" w:rsidRDefault="00AE2732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01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59"/>
                  </w:tblGrid>
                  <w:tr w:rsidR="00AE2732">
                    <w:tc>
                      <w:tcPr>
                        <w:tcW w:w="15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AE2732" w:rsidRDefault="0014787D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16"/>
                          </w:rPr>
                          <w:t xml:space="preserve">N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absoliutus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asmenų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skaičius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pasirinktoje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Min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minimali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mokyklose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Max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maksimali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mokyklose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</w:t>
                        </w:r>
                        <w:r>
                          <w:rPr>
                            <w:color w:val="000000"/>
                            <w:sz w:val="16"/>
                          </w:rPr>
                          <w:t>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Vaizdavimas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linija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nurodo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pasiskirstymą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pagal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kvartilius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žalia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spalva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paryškinta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sritis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kuri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apima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50%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).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Atskirai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vertikalia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linija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Lietuvoje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o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apskritimu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savivaldybėje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;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skaitinė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pokyčio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kuri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vaizduojama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„</w:t>
                        </w: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 xml:space="preserve">+“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ženklu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reikšmė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padidėjo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praėjusiais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metais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„-“,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sumažėjo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</w:t>
                        </w:r>
                        <w:r>
                          <w:rPr>
                            <w:color w:val="000000"/>
                            <w:sz w:val="16"/>
                          </w:rPr>
                          <w:t>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bus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pateikiamas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rausva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spalva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tai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reiškia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statistiškai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reikšmingą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pokytį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palyginti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praėjusių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balta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jei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nebuvo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statistiškai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reikšmingas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palyginus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praeitų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metų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rodiklio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reikšme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. NA – per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maža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imtis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patikima</w:t>
                        </w:r>
                        <w:r>
                          <w:rPr>
                            <w:color w:val="000000"/>
                            <w:sz w:val="16"/>
                          </w:rPr>
                          <w:t>m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pokyčiui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</w:rPr>
                          <w:t>skaičiuoti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732" w:rsidRDefault="00AE2732">
                  <w:pPr>
                    <w:spacing w:after="0" w:line="240" w:lineRule="auto"/>
                  </w:pPr>
                </w:p>
              </w:tc>
            </w:tr>
          </w:tbl>
          <w:p w:rsidR="00AE2732" w:rsidRDefault="00AE2732">
            <w:pPr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  <w:tr w:rsidR="00AE2732">
        <w:trPr>
          <w:trHeight w:val="43"/>
        </w:trPr>
        <w:tc>
          <w:tcPr>
            <w:tcW w:w="68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15755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  <w:tc>
          <w:tcPr>
            <w:tcW w:w="61" w:type="dxa"/>
          </w:tcPr>
          <w:p w:rsidR="00AE2732" w:rsidRDefault="00AE2732">
            <w:pPr>
              <w:pStyle w:val="EmptyCellLayoutStyle"/>
              <w:spacing w:after="0" w:line="240" w:lineRule="auto"/>
            </w:pPr>
          </w:p>
        </w:tc>
      </w:tr>
    </w:tbl>
    <w:p w:rsidR="00AE2732" w:rsidRDefault="00AE2732">
      <w:pPr>
        <w:spacing w:after="0" w:line="240" w:lineRule="auto"/>
      </w:pPr>
    </w:p>
    <w:sectPr w:rsidR="00AE2732">
      <w:footerReference w:type="default" r:id="rId40"/>
      <w:pgSz w:w="16837" w:h="11905"/>
      <w:pgMar w:top="850" w:right="453" w:bottom="453" w:left="4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787D" w:rsidRDefault="0014787D">
      <w:pPr>
        <w:spacing w:after="0" w:line="240" w:lineRule="auto"/>
      </w:pPr>
      <w:r>
        <w:separator/>
      </w:r>
    </w:p>
  </w:endnote>
  <w:endnote w:type="continuationSeparator" w:id="0">
    <w:p w:rsidR="0014787D" w:rsidRDefault="0014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"/>
      <w:gridCol w:w="3121"/>
      <w:gridCol w:w="6983"/>
      <w:gridCol w:w="5655"/>
      <w:gridCol w:w="66"/>
    </w:tblGrid>
    <w:tr w:rsidR="00AE2732">
      <w:tc>
        <w:tcPr>
          <w:tcW w:w="72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6983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565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55"/>
          </w:tblGrid>
          <w:tr w:rsidR="00AE2732">
            <w:trPr>
              <w:trHeight w:val="234"/>
            </w:trPr>
            <w:tc>
              <w:tcPr>
                <w:tcW w:w="56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2732" w:rsidRDefault="0014787D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color w:val="000000"/>
                  </w:rPr>
                  <w:t>Puslapis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noProof/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  <w:r>
                  <w:rPr>
                    <w:color w:val="000000"/>
                  </w:rPr>
                  <w:t xml:space="preserve"> </w:t>
                </w:r>
                <w:proofErr w:type="spellStart"/>
                <w:r>
                  <w:rPr>
                    <w:color w:val="000000"/>
                  </w:rPr>
                  <w:t>iš</w:t>
                </w:r>
                <w:proofErr w:type="spellEnd"/>
                <w:r>
                  <w:rPr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fldChar w:fldCharType="begin"/>
                </w:r>
                <w:r>
                  <w:rPr>
                    <w:noProof/>
                    <w:color w:val="000000"/>
                  </w:rPr>
                  <w:instrText xml:space="preserve"> NUMPAGES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c>
          </w:tr>
        </w:tbl>
        <w:p w:rsidR="00AE2732" w:rsidRDefault="00AE2732">
          <w:pPr>
            <w:spacing w:after="0" w:line="240" w:lineRule="auto"/>
          </w:pPr>
        </w:p>
      </w:tc>
      <w:tc>
        <w:tcPr>
          <w:tcW w:w="66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</w:tr>
    <w:tr w:rsidR="00AE2732">
      <w:tc>
        <w:tcPr>
          <w:tcW w:w="72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121"/>
          </w:tblGrid>
          <w:tr w:rsidR="00AE2732">
            <w:trPr>
              <w:trHeight w:val="241"/>
            </w:trPr>
            <w:tc>
              <w:tcPr>
                <w:tcW w:w="312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39" w:type="dxa"/>
                  <w:bottom w:w="39" w:type="dxa"/>
                  <w:right w:w="39" w:type="dxa"/>
                </w:tcMar>
              </w:tcPr>
              <w:p w:rsidR="00AE2732" w:rsidRDefault="0014787D">
                <w:pPr>
                  <w:spacing w:after="0" w:line="240" w:lineRule="auto"/>
                </w:pPr>
                <w:proofErr w:type="spellStart"/>
                <w:r>
                  <w:rPr>
                    <w:color w:val="000000"/>
                  </w:rPr>
                  <w:t>Suformuota</w:t>
                </w:r>
                <w:proofErr w:type="spellEnd"/>
                <w:r>
                  <w:rPr>
                    <w:color w:val="000000"/>
                  </w:rPr>
                  <w:t>: 2020-07-22 16:22:24</w:t>
                </w:r>
              </w:p>
            </w:tc>
          </w:tr>
        </w:tbl>
        <w:p w:rsidR="00AE2732" w:rsidRDefault="00AE2732">
          <w:pPr>
            <w:spacing w:after="0" w:line="240" w:lineRule="auto"/>
          </w:pPr>
        </w:p>
      </w:tc>
      <w:tc>
        <w:tcPr>
          <w:tcW w:w="6983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5655" w:type="dxa"/>
          <w:vMerge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66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</w:tr>
    <w:tr w:rsidR="00AE2732">
      <w:tc>
        <w:tcPr>
          <w:tcW w:w="72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3121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6983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5655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  <w:tc>
        <w:tcPr>
          <w:tcW w:w="66" w:type="dxa"/>
        </w:tcPr>
        <w:p w:rsidR="00AE2732" w:rsidRDefault="00AE273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787D" w:rsidRDefault="0014787D">
      <w:pPr>
        <w:spacing w:after="0" w:line="240" w:lineRule="auto"/>
      </w:pPr>
      <w:r>
        <w:separator/>
      </w:r>
    </w:p>
  </w:footnote>
  <w:footnote w:type="continuationSeparator" w:id="0">
    <w:p w:rsidR="0014787D" w:rsidRDefault="0014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32"/>
    <w:rsid w:val="0014787D"/>
    <w:rsid w:val="00AE2732"/>
    <w:rsid w:val="00F1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B40F6-D9E7-44B5-A99F-4588070D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Savivaldybės sveikatos rodiklių suvestinė2020</dc:title>
  <dc:creator>User</dc:creator>
  <dc:description/>
  <cp:lastModifiedBy>User</cp:lastModifiedBy>
  <cp:revision>2</cp:revision>
  <dcterms:created xsi:type="dcterms:W3CDTF">2020-07-22T13:27:00Z</dcterms:created>
  <dcterms:modified xsi:type="dcterms:W3CDTF">2020-07-22T13:27:00Z</dcterms:modified>
</cp:coreProperties>
</file>